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rPr>
          <w:rFonts w:hint="eastAsia" w:ascii="黑体" w:hAnsi="黑体" w:eastAsia="黑体" w:cs="黑体"/>
          <w:bCs/>
          <w:color w:val="000000"/>
          <w:sz w:val="24"/>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pStyle w:val="70"/>
        <w:rPr>
          <w:rFonts w:hint="default" w:eastAsia="华文新魏"/>
          <w:sz w:val="44"/>
          <w:szCs w:val="44"/>
          <w:lang w:val="en-US" w:eastAsia="zh-CN"/>
        </w:rPr>
      </w:pPr>
      <w:r>
        <w:rPr>
          <w:rFonts w:hint="eastAsia"/>
          <w:sz w:val="44"/>
          <w:szCs w:val="44"/>
          <w:lang w:eastAsia="zh-CN"/>
        </w:rPr>
        <w:t>宁波市海曙古林宏通印花厂（普通合伙）</w:t>
      </w:r>
    </w:p>
    <w:p>
      <w:pPr>
        <w:pStyle w:val="70"/>
        <w:rPr>
          <w:rFonts w:hint="eastAsia"/>
          <w:sz w:val="44"/>
          <w:szCs w:val="44"/>
          <w:lang w:val="en-US" w:eastAsia="zh-CN"/>
        </w:rPr>
      </w:pPr>
      <w:r>
        <w:rPr>
          <w:rFonts w:hint="eastAsia"/>
          <w:sz w:val="44"/>
          <w:szCs w:val="44"/>
          <w:lang w:val="en-US" w:eastAsia="zh-CN"/>
        </w:rPr>
        <w:t>年印50万衣片印花（水性及油性）项目</w:t>
      </w:r>
    </w:p>
    <w:p>
      <w:pPr>
        <w:pStyle w:val="70"/>
        <w:rPr>
          <w:sz w:val="44"/>
          <w:szCs w:val="44"/>
        </w:rPr>
      </w:pPr>
      <w:r>
        <w:rPr>
          <w:rFonts w:hint="eastAsia"/>
          <w:sz w:val="44"/>
          <w:szCs w:val="44"/>
          <w:lang w:val="en-US" w:eastAsia="zh-CN"/>
        </w:rPr>
        <w:t>建设项目</w:t>
      </w:r>
      <w:r>
        <w:rPr>
          <w:rFonts w:hint="eastAsia"/>
          <w:sz w:val="44"/>
          <w:szCs w:val="44"/>
        </w:rPr>
        <w:t>验收监测报告表</w:t>
      </w:r>
    </w:p>
    <w:p>
      <w:pPr>
        <w:spacing w:line="360" w:lineRule="auto"/>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ind w:firstLine="560" w:firstLineChars="200"/>
        <w:rPr>
          <w:rFonts w:ascii="华文新魏" w:eastAsia="华文新魏"/>
          <w:color w:val="000000"/>
          <w:sz w:val="28"/>
          <w:szCs w:val="28"/>
        </w:rPr>
      </w:pPr>
      <w:r>
        <w:rPr>
          <w:rFonts w:ascii="仿宋_GB2312" w:eastAsia="仿宋_GB2312"/>
          <w:color w:val="000000"/>
          <w:sz w:val="28"/>
        </w:rPr>
        <w:tab/>
      </w:r>
    </w:p>
    <w:p>
      <w:pPr>
        <w:pStyle w:val="7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楷体_GB2312"/>
          <w:szCs w:val="32"/>
          <w:lang w:val="en-US" w:eastAsia="zh-CN"/>
        </w:rPr>
      </w:pPr>
      <w:r>
        <w:rPr>
          <w:rFonts w:hint="eastAsia"/>
          <w:szCs w:val="32"/>
        </w:rPr>
        <w:t>建设单位：</w:t>
      </w:r>
      <w:r>
        <w:rPr>
          <w:rFonts w:hint="eastAsia" w:ascii="Times New Roman" w:hAnsi="Times New Roman"/>
          <w:szCs w:val="32"/>
          <w:lang w:eastAsia="zh-CN"/>
        </w:rPr>
        <w:t>宁波市海曙古林宏通印花厂（普通合伙）</w:t>
      </w:r>
    </w:p>
    <w:p>
      <w:pPr>
        <w:pStyle w:val="7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楷体_GB2312"/>
          <w:szCs w:val="32"/>
          <w:lang w:eastAsia="zh-CN"/>
        </w:rPr>
      </w:pPr>
      <w:r>
        <w:rPr>
          <w:rFonts w:hint="eastAsia"/>
          <w:szCs w:val="32"/>
        </w:rPr>
        <w:t>编制单位：</w:t>
      </w:r>
      <w:r>
        <w:rPr>
          <w:rFonts w:hint="eastAsia" w:ascii="Times New Roman" w:hAnsi="Times New Roman"/>
          <w:szCs w:val="32"/>
          <w:lang w:eastAsia="zh-CN"/>
        </w:rPr>
        <w:t>宁波市海曙古林宏通印花厂（普通合伙）</w:t>
      </w:r>
    </w:p>
    <w:p>
      <w:pPr>
        <w:pStyle w:val="73"/>
        <w:keepNext w:val="0"/>
        <w:keepLines w:val="0"/>
        <w:pageBreakBefore w:val="0"/>
        <w:widowControl w:val="0"/>
        <w:kinsoku/>
        <w:wordWrap/>
        <w:overflowPunct/>
        <w:topLinePunct w:val="0"/>
        <w:autoSpaceDE/>
        <w:autoSpaceDN/>
        <w:bidi w:val="0"/>
        <w:adjustRightInd/>
        <w:snapToGrid/>
        <w:spacing w:line="360" w:lineRule="auto"/>
        <w:ind w:left="0" w:leftChars="0" w:firstLine="1084" w:firstLineChars="300"/>
        <w:jc w:val="left"/>
        <w:textAlignment w:val="auto"/>
      </w:pPr>
    </w:p>
    <w:p>
      <w:pPr>
        <w:jc w:val="center"/>
        <w:rPr>
          <w:rFonts w:ascii="仿宋_GB2312" w:eastAsia="仿宋_GB2312"/>
          <w:color w:val="000000"/>
          <w:sz w:val="28"/>
        </w:rPr>
      </w:pPr>
    </w:p>
    <w:p>
      <w:pPr>
        <w:rPr>
          <w:rFonts w:ascii="仿宋_GB2312" w:eastAsia="仿宋_GB2312"/>
          <w:color w:val="000000"/>
          <w:sz w:val="28"/>
        </w:rPr>
      </w:pPr>
    </w:p>
    <w:p>
      <w:pPr>
        <w:rPr>
          <w:rFonts w:ascii="华文新魏" w:eastAsia="华文新魏"/>
          <w:color w:val="000000"/>
          <w:sz w:val="28"/>
          <w:szCs w:val="28"/>
        </w:rPr>
      </w:pPr>
    </w:p>
    <w:p>
      <w:pPr>
        <w:jc w:val="center"/>
        <w:rPr>
          <w:rFonts w:ascii="华文新魏" w:eastAsia="华文新魏"/>
          <w:color w:val="000000"/>
          <w:sz w:val="28"/>
          <w:szCs w:val="28"/>
        </w:rPr>
      </w:pPr>
      <w:r>
        <w:rPr>
          <w:rFonts w:hint="eastAsia" w:ascii="华文新魏" w:eastAsia="华文新魏"/>
          <w:b/>
          <w:color w:val="000000"/>
          <w:sz w:val="28"/>
          <w:szCs w:val="28"/>
        </w:rPr>
        <w:t>202</w:t>
      </w:r>
      <w:r>
        <w:rPr>
          <w:rFonts w:hint="eastAsia" w:ascii="华文新魏" w:eastAsia="华文新魏"/>
          <w:b/>
          <w:color w:val="000000"/>
          <w:sz w:val="28"/>
          <w:szCs w:val="28"/>
          <w:lang w:val="en-US" w:eastAsia="zh-CN"/>
        </w:rPr>
        <w:t>2</w:t>
      </w:r>
      <w:r>
        <w:rPr>
          <w:rFonts w:hint="eastAsia" w:ascii="华文新魏" w:eastAsia="华文新魏"/>
          <w:b/>
          <w:color w:val="000000"/>
          <w:sz w:val="28"/>
          <w:szCs w:val="28"/>
        </w:rPr>
        <w:t>年</w:t>
      </w:r>
      <w:r>
        <w:rPr>
          <w:rFonts w:hint="eastAsia" w:ascii="华文新魏" w:eastAsia="华文新魏"/>
          <w:b/>
          <w:color w:val="000000"/>
          <w:sz w:val="28"/>
          <w:szCs w:val="28"/>
          <w:lang w:val="en-US" w:eastAsia="zh-CN"/>
        </w:rPr>
        <w:t>2</w:t>
      </w:r>
      <w:r>
        <w:rPr>
          <w:rFonts w:hint="eastAsia" w:ascii="华文新魏" w:eastAsia="华文新魏"/>
          <w:b/>
          <w:color w:val="000000"/>
          <w:sz w:val="28"/>
          <w:szCs w:val="28"/>
        </w:rPr>
        <w:t>月</w:t>
      </w:r>
    </w:p>
    <w:p>
      <w:pPr>
        <w:rPr>
          <w:rFonts w:hint="eastAsia" w:ascii="仿宋_GB2312" w:eastAsia="仿宋_GB2312"/>
          <w:color w:val="000000"/>
          <w:sz w:val="28"/>
        </w:rPr>
      </w:pPr>
    </w:p>
    <w:p>
      <w:pPr>
        <w:rPr>
          <w:rFonts w:hint="eastAsia" w:ascii="仿宋_GB2312" w:eastAsia="仿宋_GB2312"/>
          <w:color w:val="000000"/>
          <w:sz w:val="28"/>
        </w:rPr>
      </w:pPr>
      <w:r>
        <w:rPr>
          <w:rFonts w:hint="eastAsia" w:ascii="仿宋_GB2312" w:eastAsia="仿宋_GB2312"/>
          <w:color w:val="000000"/>
          <w:sz w:val="28"/>
        </w:rPr>
        <w:br w:type="page"/>
      </w:r>
    </w:p>
    <w:p>
      <w:pPr>
        <w:spacing w:line="360" w:lineRule="auto"/>
        <w:rPr>
          <w:rFonts w:ascii="仿宋_GB2312" w:eastAsia="仿宋_GB2312"/>
          <w:color w:val="000000"/>
          <w:sz w:val="28"/>
        </w:rPr>
      </w:pPr>
      <w:r>
        <w:rPr>
          <w:rFonts w:hint="eastAsia" w:ascii="仿宋_GB2312" w:eastAsia="仿宋_GB2312"/>
          <w:color w:val="000000"/>
          <w:sz w:val="28"/>
        </w:rPr>
        <w:t>建设单位法人代表</w:t>
      </w:r>
      <w:r>
        <w:rPr>
          <w:rFonts w:hint="eastAsia" w:ascii="仿宋_GB2312" w:eastAsia="仿宋_GB2312"/>
          <w:color w:val="000000"/>
          <w:sz w:val="28"/>
          <w:lang w:eastAsia="zh-CN"/>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color w:val="000000"/>
          <w:sz w:val="28"/>
        </w:rPr>
      </w:pPr>
      <w:r>
        <w:rPr>
          <w:rFonts w:hint="eastAsia" w:ascii="仿宋_GB2312" w:eastAsia="仿宋_GB2312"/>
          <w:color w:val="000000"/>
          <w:sz w:val="28"/>
        </w:rPr>
        <w:t>编制单位法人代表</w:t>
      </w:r>
      <w:r>
        <w:rPr>
          <w:rFonts w:hint="eastAsia" w:ascii="仿宋_GB2312" w:eastAsia="仿宋_GB2312"/>
          <w:color w:val="000000"/>
          <w:sz w:val="28"/>
          <w:lang w:eastAsia="zh-CN"/>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hint="eastAsia" w:ascii="仿宋_GB2312" w:eastAsia="仿宋_GB2312"/>
          <w:color w:val="000000"/>
          <w:sz w:val="28"/>
          <w:lang w:eastAsia="zh-CN"/>
        </w:rPr>
      </w:pPr>
      <w:r>
        <w:rPr>
          <w:rFonts w:hint="eastAsia" w:ascii="仿宋_GB2312" w:eastAsia="仿宋_GB2312"/>
          <w:color w:val="000000"/>
          <w:sz w:val="28"/>
        </w:rPr>
        <w:t>项目负责人</w:t>
      </w:r>
      <w:r>
        <w:rPr>
          <w:rFonts w:hint="eastAsia" w:ascii="仿宋_GB2312" w:eastAsia="仿宋_GB2312"/>
          <w:color w:val="000000"/>
          <w:sz w:val="28"/>
          <w:lang w:eastAsia="zh-CN"/>
        </w:rPr>
        <w:t>：</w:t>
      </w:r>
    </w:p>
    <w:p>
      <w:pPr>
        <w:spacing w:line="360" w:lineRule="auto"/>
        <w:rPr>
          <w:rFonts w:hint="eastAsia" w:ascii="仿宋_GB2312" w:eastAsia="仿宋_GB2312"/>
          <w:color w:val="000000"/>
          <w:sz w:val="28"/>
        </w:rPr>
      </w:pPr>
      <w:r>
        <w:rPr>
          <w:rFonts w:hint="eastAsia" w:ascii="仿宋_GB2312" w:eastAsia="仿宋_GB2312"/>
          <w:color w:val="000000"/>
          <w:sz w:val="28"/>
        </w:rPr>
        <w:t>填表人：</w:t>
      </w:r>
    </w:p>
    <w:p>
      <w:pPr>
        <w:pStyle w:val="47"/>
        <w:rPr>
          <w:rFonts w:hint="eastAsia" w:ascii="仿宋_GB2312" w:eastAsia="仿宋_GB2312"/>
          <w:color w:val="000000"/>
          <w:sz w:val="28"/>
        </w:rPr>
      </w:pPr>
    </w:p>
    <w:p>
      <w:pPr>
        <w:pStyle w:val="47"/>
        <w:rPr>
          <w:rFonts w:hint="eastAsia" w:ascii="仿宋_GB2312" w:eastAsia="仿宋_GB2312"/>
          <w:color w:val="000000"/>
          <w:sz w:val="28"/>
        </w:rPr>
        <w:sectPr>
          <w:footerReference r:id="rId3" w:type="default"/>
          <w:type w:val="continuous"/>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eastAsia="仿宋_GB2312"/>
          <w:color w:val="000000"/>
          <w:sz w:val="24"/>
        </w:rPr>
      </w:pPr>
      <w:r>
        <w:rPr>
          <w:rFonts w:eastAsia="仿宋_GB2312"/>
          <w:color w:val="000000"/>
          <w:sz w:val="24"/>
        </w:rPr>
        <w:t>建设单位</w:t>
      </w:r>
      <w:r>
        <w:rPr>
          <w:rFonts w:hint="eastAsia" w:eastAsia="仿宋_GB2312"/>
          <w:color w:val="000000"/>
          <w:sz w:val="24"/>
          <w:lang w:eastAsia="zh-CN"/>
        </w:rPr>
        <w:t>：</w:t>
      </w:r>
      <w:r>
        <w:rPr>
          <w:rFonts w:hint="eastAsia" w:eastAsia="仿宋_GB2312"/>
          <w:sz w:val="24"/>
          <w:lang w:eastAsia="zh-CN"/>
        </w:rPr>
        <w:t>宁波市海曙古林宏通印花厂（普通合伙）</w:t>
      </w:r>
      <w:r>
        <w:rPr>
          <w:rFonts w:eastAsia="仿宋"/>
          <w:color w:val="000000"/>
          <w:sz w:val="24"/>
        </w:rPr>
        <w:t>（盖章）</w:t>
      </w:r>
      <w:r>
        <w:rPr>
          <w:rFonts w:eastAsia="仿宋_GB2312"/>
          <w:color w:val="000000"/>
          <w:sz w:val="24"/>
        </w:rPr>
        <w:t xml:space="preserve">                                                      </w:t>
      </w:r>
    </w:p>
    <w:p>
      <w:pPr>
        <w:spacing w:line="360" w:lineRule="auto"/>
        <w:rPr>
          <w:rFonts w:eastAsia="仿宋_GB2312"/>
          <w:color w:val="000000"/>
          <w:sz w:val="24"/>
        </w:rPr>
      </w:pPr>
      <w:r>
        <w:rPr>
          <w:rFonts w:eastAsia="仿宋_GB2312"/>
          <w:color w:val="000000"/>
          <w:sz w:val="24"/>
        </w:rPr>
        <w:t>电话</w:t>
      </w:r>
      <w:r>
        <w:rPr>
          <w:rFonts w:hint="eastAsia" w:eastAsia="仿宋_GB2312"/>
          <w:color w:val="000000"/>
          <w:sz w:val="24"/>
          <w:lang w:eastAsia="zh-CN"/>
        </w:rPr>
        <w:t>：</w:t>
      </w:r>
      <w:r>
        <w:rPr>
          <w:rFonts w:hint="eastAsia" w:eastAsia="仿宋_GB2312"/>
          <w:color w:val="000000"/>
          <w:sz w:val="24"/>
          <w:lang w:val="en-US" w:eastAsia="zh-CN"/>
        </w:rPr>
        <w:t>15058800663</w:t>
      </w:r>
      <w:r>
        <w:rPr>
          <w:rFonts w:eastAsia="仿宋_GB2312"/>
          <w:color w:val="000000"/>
          <w:sz w:val="24"/>
        </w:rPr>
        <w:t xml:space="preserve">                              </w:t>
      </w:r>
    </w:p>
    <w:p>
      <w:pPr>
        <w:spacing w:line="360" w:lineRule="auto"/>
        <w:rPr>
          <w:rFonts w:eastAsia="仿宋_GB2312"/>
          <w:color w:val="000000"/>
          <w:sz w:val="24"/>
        </w:rPr>
      </w:pPr>
      <w:r>
        <w:rPr>
          <w:rFonts w:eastAsia="仿宋_GB2312"/>
          <w:color w:val="000000"/>
          <w:sz w:val="24"/>
        </w:rPr>
        <w:t>传真</w:t>
      </w:r>
      <w:r>
        <w:rPr>
          <w:rFonts w:hint="eastAsia" w:eastAsia="仿宋_GB2312"/>
          <w:color w:val="000000"/>
          <w:sz w:val="24"/>
          <w:lang w:eastAsia="zh-CN"/>
        </w:rPr>
        <w:t>：</w:t>
      </w:r>
      <w:r>
        <w:rPr>
          <w:rFonts w:eastAsia="仿宋_GB2312"/>
          <w:color w:val="000000"/>
          <w:sz w:val="24"/>
        </w:rPr>
        <w:t xml:space="preserve">/                              </w:t>
      </w:r>
    </w:p>
    <w:p>
      <w:pPr>
        <w:spacing w:line="360" w:lineRule="auto"/>
        <w:rPr>
          <w:rFonts w:eastAsia="仿宋_GB2312"/>
          <w:color w:val="000000"/>
          <w:sz w:val="24"/>
        </w:rPr>
      </w:pPr>
      <w:r>
        <w:rPr>
          <w:rFonts w:eastAsia="仿宋_GB2312"/>
          <w:color w:val="000000"/>
          <w:sz w:val="24"/>
        </w:rPr>
        <w:t>邮编</w:t>
      </w:r>
      <w:r>
        <w:rPr>
          <w:rFonts w:hint="eastAsia" w:eastAsia="仿宋_GB2312"/>
          <w:color w:val="000000"/>
          <w:sz w:val="24"/>
          <w:lang w:eastAsia="zh-CN"/>
        </w:rPr>
        <w:t>：</w:t>
      </w:r>
      <w:r>
        <w:rPr>
          <w:rFonts w:hint="eastAsia" w:eastAsia="仿宋_GB2312"/>
          <w:color w:val="000000"/>
          <w:sz w:val="24"/>
          <w:lang w:val="en-US" w:eastAsia="zh-CN"/>
        </w:rPr>
        <w:t>315000</w:t>
      </w:r>
      <w:r>
        <w:rPr>
          <w:rFonts w:hint="eastAsia" w:eastAsia="仿宋_GB2312"/>
          <w:color w:val="000000"/>
          <w:sz w:val="24"/>
        </w:rPr>
        <w:t xml:space="preserve">     </w:t>
      </w:r>
      <w:r>
        <w:rPr>
          <w:rFonts w:eastAsia="仿宋_GB2312"/>
          <w:color w:val="000000"/>
          <w:sz w:val="24"/>
        </w:rPr>
        <w:t xml:space="preserve">                       </w:t>
      </w:r>
    </w:p>
    <w:p>
      <w:pPr>
        <w:spacing w:line="360" w:lineRule="auto"/>
        <w:rPr>
          <w:rFonts w:ascii="仿宋_GB2312" w:eastAsia="仿宋_GB2312"/>
          <w:color w:val="000000"/>
          <w:sz w:val="24"/>
        </w:rPr>
      </w:pPr>
      <w:r>
        <w:rPr>
          <w:rFonts w:eastAsia="仿宋_GB2312"/>
          <w:color w:val="000000"/>
          <w:sz w:val="24"/>
        </w:rPr>
        <w:t>地址</w:t>
      </w:r>
      <w:r>
        <w:rPr>
          <w:rFonts w:hint="eastAsia" w:eastAsia="仿宋_GB2312"/>
          <w:color w:val="000000"/>
          <w:sz w:val="24"/>
          <w:lang w:eastAsia="zh-CN"/>
        </w:rPr>
        <w:t>：</w:t>
      </w:r>
      <w:r>
        <w:rPr>
          <w:rFonts w:hint="eastAsia" w:eastAsia="仿宋_GB2312"/>
          <w:color w:val="000000"/>
          <w:sz w:val="24"/>
          <w:lang w:val="en-US" w:eastAsia="zh-CN"/>
        </w:rPr>
        <w:t>宁波市海曙区古林镇蜃蛟村</w:t>
      </w:r>
      <w:r>
        <w:rPr>
          <w:rFonts w:hint="eastAsia" w:ascii="仿宋_GB2312" w:eastAsia="仿宋_GB2312"/>
          <w:color w:val="000000"/>
          <w:sz w:val="24"/>
        </w:rPr>
        <w:t xml:space="preserve">                             </w:t>
      </w: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rPr>
          <w:lang w:val="zh-CN"/>
        </w:rPr>
      </w:pPr>
      <w:bookmarkStart w:id="0" w:name="_Toc535564815"/>
      <w:bookmarkStart w:id="1" w:name="_Toc27232"/>
      <w:r>
        <w:rPr>
          <w:lang w:val="zh-CN"/>
        </w:rPr>
        <w:br w:type="page"/>
      </w:r>
    </w:p>
    <w:bookmarkEnd w:id="0"/>
    <w:bookmarkEnd w:id="1"/>
    <w:sdt>
      <w:sdtPr>
        <w:rPr>
          <w:rFonts w:ascii="宋体" w:hAnsi="宋体" w:eastAsia="宋体" w:cs="Times New Roman"/>
          <w:kern w:val="2"/>
          <w:sz w:val="21"/>
          <w:szCs w:val="24"/>
          <w:lang w:val="en-US" w:eastAsia="zh-CN" w:bidi="ar-SA"/>
        </w:rPr>
        <w:id w:val="147475182"/>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pPr>
            <w:pStyle w:val="26"/>
            <w:tabs>
              <w:tab w:val="right" w:leader="dot" w:pos="8306"/>
              <w:tab w:val="clear" w:pos="420"/>
              <w:tab w:val="clear" w:pos="8640"/>
            </w:tabs>
          </w:pPr>
          <w:r>
            <w:fldChar w:fldCharType="begin"/>
          </w:r>
          <w:r>
            <w:instrText xml:space="preserve">TOC \o "1-3" \h \u </w:instrText>
          </w:r>
          <w:r>
            <w:fldChar w:fldCharType="separate"/>
          </w:r>
          <w:r>
            <w:fldChar w:fldCharType="begin"/>
          </w:r>
          <w:r>
            <w:instrText xml:space="preserve"> HYPERLINK \l _Toc32129 </w:instrText>
          </w:r>
          <w:r>
            <w:fldChar w:fldCharType="separate"/>
          </w:r>
          <w:r>
            <w:rPr>
              <w:rFonts w:hint="eastAsia" w:eastAsia="仿宋_GB2312"/>
            </w:rPr>
            <w:t xml:space="preserve">1 </w:t>
          </w:r>
          <w:r>
            <w:t>建设项目</w:t>
          </w:r>
          <w:r>
            <w:rPr>
              <w:rFonts w:hint="eastAsia"/>
            </w:rPr>
            <w:t>基本情况</w:t>
          </w:r>
          <w:r>
            <w:tab/>
          </w:r>
          <w:r>
            <w:fldChar w:fldCharType="begin"/>
          </w:r>
          <w:r>
            <w:instrText xml:space="preserve"> PAGEREF _Toc32129 \h </w:instrText>
          </w:r>
          <w:r>
            <w:fldChar w:fldCharType="separate"/>
          </w:r>
          <w:r>
            <w:t>- 1 -</w:t>
          </w:r>
          <w:r>
            <w:fldChar w:fldCharType="end"/>
          </w:r>
          <w:r>
            <w:fldChar w:fldCharType="end"/>
          </w:r>
        </w:p>
        <w:p>
          <w:pPr>
            <w:pStyle w:val="31"/>
            <w:tabs>
              <w:tab w:val="right" w:leader="dot" w:pos="8306"/>
              <w:tab w:val="clear" w:pos="735"/>
              <w:tab w:val="clear" w:pos="8610"/>
            </w:tabs>
          </w:pPr>
          <w:r>
            <w:fldChar w:fldCharType="begin"/>
          </w:r>
          <w:r>
            <w:instrText xml:space="preserve"> HYPERLINK \l _Toc30214 </w:instrText>
          </w:r>
          <w:r>
            <w:fldChar w:fldCharType="separate"/>
          </w:r>
          <w:r>
            <w:rPr>
              <w:rFonts w:hint="eastAsia"/>
            </w:rPr>
            <w:t>1.1 建设项目环境保护相关法律、法规、规章和规范</w:t>
          </w:r>
          <w:r>
            <w:tab/>
          </w:r>
          <w:r>
            <w:fldChar w:fldCharType="begin"/>
          </w:r>
          <w:r>
            <w:instrText xml:space="preserve"> PAGEREF _Toc30214 \h </w:instrText>
          </w:r>
          <w:r>
            <w:fldChar w:fldCharType="separate"/>
          </w:r>
          <w:r>
            <w:t>- 1 -</w:t>
          </w:r>
          <w:r>
            <w:fldChar w:fldCharType="end"/>
          </w:r>
          <w:r>
            <w:fldChar w:fldCharType="end"/>
          </w:r>
        </w:p>
        <w:p>
          <w:pPr>
            <w:pStyle w:val="31"/>
            <w:tabs>
              <w:tab w:val="right" w:leader="dot" w:pos="8306"/>
              <w:tab w:val="clear" w:pos="735"/>
              <w:tab w:val="clear" w:pos="8610"/>
            </w:tabs>
          </w:pPr>
          <w:r>
            <w:fldChar w:fldCharType="begin"/>
          </w:r>
          <w:r>
            <w:instrText xml:space="preserve"> HYPERLINK \l _Toc11749 </w:instrText>
          </w:r>
          <w:r>
            <w:fldChar w:fldCharType="separate"/>
          </w:r>
          <w:r>
            <w:rPr>
              <w:rFonts w:hint="eastAsia"/>
            </w:rPr>
            <w:t>1.2 建设项目竣工环境保护验收技术规范</w:t>
          </w:r>
          <w:r>
            <w:tab/>
          </w:r>
          <w:r>
            <w:fldChar w:fldCharType="begin"/>
          </w:r>
          <w:r>
            <w:instrText xml:space="preserve"> PAGEREF _Toc11749 \h </w:instrText>
          </w:r>
          <w:r>
            <w:fldChar w:fldCharType="separate"/>
          </w:r>
          <w:r>
            <w:t>- 1 -</w:t>
          </w:r>
          <w:r>
            <w:fldChar w:fldCharType="end"/>
          </w:r>
          <w:r>
            <w:fldChar w:fldCharType="end"/>
          </w:r>
        </w:p>
        <w:p>
          <w:pPr>
            <w:pStyle w:val="31"/>
            <w:tabs>
              <w:tab w:val="right" w:leader="dot" w:pos="8306"/>
              <w:tab w:val="clear" w:pos="735"/>
              <w:tab w:val="clear" w:pos="8610"/>
            </w:tabs>
          </w:pPr>
          <w:r>
            <w:fldChar w:fldCharType="begin"/>
          </w:r>
          <w:r>
            <w:instrText xml:space="preserve"> HYPERLINK \l _Toc23024 </w:instrText>
          </w:r>
          <w:r>
            <w:fldChar w:fldCharType="separate"/>
          </w:r>
          <w:r>
            <w:rPr>
              <w:rFonts w:hint="eastAsia"/>
            </w:rPr>
            <w:t>1.3 建设项目环境影响报告书（表）及审批部门审批决定</w:t>
          </w:r>
          <w:r>
            <w:tab/>
          </w:r>
          <w:r>
            <w:fldChar w:fldCharType="begin"/>
          </w:r>
          <w:r>
            <w:instrText xml:space="preserve"> PAGEREF _Toc23024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_Toc29448 </w:instrText>
          </w:r>
          <w:r>
            <w:fldChar w:fldCharType="separate"/>
          </w:r>
          <w:r>
            <w:rPr>
              <w:rFonts w:hint="eastAsia"/>
            </w:rPr>
            <w:t xml:space="preserve">1.4 </w:t>
          </w:r>
          <w:r>
            <w:t>废气污染物排放标准</w:t>
          </w:r>
          <w:r>
            <w:tab/>
          </w:r>
          <w:r>
            <w:fldChar w:fldCharType="begin"/>
          </w:r>
          <w:r>
            <w:instrText xml:space="preserve"> PAGEREF _Toc29448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_Toc18314 </w:instrText>
          </w:r>
          <w:r>
            <w:fldChar w:fldCharType="separate"/>
          </w:r>
          <w:r>
            <w:rPr>
              <w:rFonts w:hint="eastAsia"/>
            </w:rPr>
            <w:t>1.5 废水</w:t>
          </w:r>
          <w:r>
            <w:t>排放标准</w:t>
          </w:r>
          <w:r>
            <w:tab/>
          </w:r>
          <w:r>
            <w:fldChar w:fldCharType="begin"/>
          </w:r>
          <w:r>
            <w:instrText xml:space="preserve"> PAGEREF _Toc18314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_Toc17492 </w:instrText>
          </w:r>
          <w:r>
            <w:fldChar w:fldCharType="separate"/>
          </w:r>
          <w:r>
            <w:rPr>
              <w:rFonts w:hint="eastAsia"/>
            </w:rPr>
            <w:t xml:space="preserve">1.6 </w:t>
          </w:r>
          <w:r>
            <w:t>噪声排放标准</w:t>
          </w:r>
          <w:r>
            <w:tab/>
          </w:r>
          <w:r>
            <w:fldChar w:fldCharType="begin"/>
          </w:r>
          <w:r>
            <w:instrText xml:space="preserve"> PAGEREF _Toc17492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_Toc4598 </w:instrText>
          </w:r>
          <w:r>
            <w:fldChar w:fldCharType="separate"/>
          </w:r>
          <w:r>
            <w:rPr>
              <w:rFonts w:hint="eastAsia"/>
            </w:rPr>
            <w:t>1.7 固废排放标准</w:t>
          </w:r>
          <w:r>
            <w:tab/>
          </w:r>
          <w:r>
            <w:fldChar w:fldCharType="begin"/>
          </w:r>
          <w:r>
            <w:instrText xml:space="preserve"> PAGEREF _Toc4598 \h </w:instrText>
          </w:r>
          <w:r>
            <w:fldChar w:fldCharType="separate"/>
          </w:r>
          <w:r>
            <w:t>- 3 -</w:t>
          </w:r>
          <w:r>
            <w:fldChar w:fldCharType="end"/>
          </w:r>
          <w:r>
            <w:fldChar w:fldCharType="end"/>
          </w:r>
        </w:p>
        <w:p>
          <w:pPr>
            <w:pStyle w:val="26"/>
            <w:tabs>
              <w:tab w:val="right" w:leader="dot" w:pos="8306"/>
              <w:tab w:val="clear" w:pos="420"/>
              <w:tab w:val="clear" w:pos="8640"/>
            </w:tabs>
          </w:pPr>
          <w:r>
            <w:fldChar w:fldCharType="begin"/>
          </w:r>
          <w:r>
            <w:instrText xml:space="preserve"> HYPERLINK \l _Toc1088 </w:instrText>
          </w:r>
          <w:r>
            <w:fldChar w:fldCharType="separate"/>
          </w:r>
          <w:r>
            <w:rPr>
              <w:rFonts w:hint="eastAsia"/>
            </w:rPr>
            <w:t>2 工程建设内容</w:t>
          </w:r>
          <w:r>
            <w:tab/>
          </w:r>
          <w:r>
            <w:fldChar w:fldCharType="begin"/>
          </w:r>
          <w:r>
            <w:instrText xml:space="preserve"> PAGEREF _Toc1088 \h </w:instrText>
          </w:r>
          <w:r>
            <w:fldChar w:fldCharType="separate"/>
          </w:r>
          <w:r>
            <w:t>- 4 -</w:t>
          </w:r>
          <w:r>
            <w:fldChar w:fldCharType="end"/>
          </w:r>
          <w:r>
            <w:fldChar w:fldCharType="end"/>
          </w:r>
        </w:p>
        <w:p>
          <w:pPr>
            <w:pStyle w:val="31"/>
            <w:tabs>
              <w:tab w:val="right" w:leader="dot" w:pos="8306"/>
              <w:tab w:val="clear" w:pos="735"/>
              <w:tab w:val="clear" w:pos="8610"/>
            </w:tabs>
          </w:pPr>
          <w:r>
            <w:fldChar w:fldCharType="begin"/>
          </w:r>
          <w:r>
            <w:instrText xml:space="preserve"> HYPERLINK \l _Toc26178 </w:instrText>
          </w:r>
          <w:r>
            <w:fldChar w:fldCharType="separate"/>
          </w:r>
          <w:r>
            <w:rPr>
              <w:rFonts w:hint="eastAsia"/>
            </w:rPr>
            <w:t>2.1 现有项目概况</w:t>
          </w:r>
          <w:r>
            <w:tab/>
          </w:r>
          <w:r>
            <w:fldChar w:fldCharType="begin"/>
          </w:r>
          <w:r>
            <w:instrText xml:space="preserve"> PAGEREF _Toc26178 \h </w:instrText>
          </w:r>
          <w:r>
            <w:fldChar w:fldCharType="separate"/>
          </w:r>
          <w:r>
            <w:t>- 4 -</w:t>
          </w:r>
          <w:r>
            <w:fldChar w:fldCharType="end"/>
          </w:r>
          <w:r>
            <w:fldChar w:fldCharType="end"/>
          </w:r>
        </w:p>
        <w:p>
          <w:pPr>
            <w:pStyle w:val="31"/>
            <w:tabs>
              <w:tab w:val="right" w:leader="dot" w:pos="8306"/>
              <w:tab w:val="clear" w:pos="735"/>
              <w:tab w:val="clear" w:pos="8610"/>
            </w:tabs>
          </w:pPr>
          <w:r>
            <w:fldChar w:fldCharType="begin"/>
          </w:r>
          <w:r>
            <w:instrText xml:space="preserve"> HYPERLINK \l _Toc30282 </w:instrText>
          </w:r>
          <w:r>
            <w:fldChar w:fldCharType="separate"/>
          </w:r>
          <w:r>
            <w:rPr>
              <w:rFonts w:hint="eastAsia"/>
            </w:rPr>
            <w:t>2.2 建设内容与规模</w:t>
          </w:r>
          <w:r>
            <w:tab/>
          </w:r>
          <w:r>
            <w:fldChar w:fldCharType="begin"/>
          </w:r>
          <w:r>
            <w:instrText xml:space="preserve"> PAGEREF _Toc30282 \h </w:instrText>
          </w:r>
          <w:r>
            <w:fldChar w:fldCharType="separate"/>
          </w:r>
          <w:r>
            <w:t>- 4 -</w:t>
          </w:r>
          <w:r>
            <w:fldChar w:fldCharType="end"/>
          </w:r>
          <w:r>
            <w:fldChar w:fldCharType="end"/>
          </w:r>
        </w:p>
        <w:p>
          <w:pPr>
            <w:pStyle w:val="31"/>
            <w:tabs>
              <w:tab w:val="right" w:leader="dot" w:pos="8306"/>
              <w:tab w:val="clear" w:pos="735"/>
              <w:tab w:val="clear" w:pos="8610"/>
            </w:tabs>
          </w:pPr>
          <w:r>
            <w:fldChar w:fldCharType="begin"/>
          </w:r>
          <w:r>
            <w:instrText xml:space="preserve"> HYPERLINK \l _Toc22269 </w:instrText>
          </w:r>
          <w:r>
            <w:fldChar w:fldCharType="separate"/>
          </w:r>
          <w:r>
            <w:rPr>
              <w:rFonts w:hint="eastAsia"/>
            </w:rPr>
            <w:t>2.3 项目变动情况</w:t>
          </w:r>
          <w:r>
            <w:tab/>
          </w:r>
          <w:r>
            <w:fldChar w:fldCharType="begin"/>
          </w:r>
          <w:r>
            <w:instrText xml:space="preserve"> PAGEREF _Toc22269 \h </w:instrText>
          </w:r>
          <w:r>
            <w:fldChar w:fldCharType="separate"/>
          </w:r>
          <w:r>
            <w:t>- 5 -</w:t>
          </w:r>
          <w:r>
            <w:fldChar w:fldCharType="end"/>
          </w:r>
          <w:r>
            <w:fldChar w:fldCharType="end"/>
          </w:r>
        </w:p>
        <w:p>
          <w:pPr>
            <w:pStyle w:val="31"/>
            <w:tabs>
              <w:tab w:val="right" w:leader="dot" w:pos="8306"/>
              <w:tab w:val="clear" w:pos="735"/>
              <w:tab w:val="clear" w:pos="8610"/>
            </w:tabs>
          </w:pPr>
          <w:r>
            <w:fldChar w:fldCharType="begin"/>
          </w:r>
          <w:r>
            <w:instrText xml:space="preserve"> HYPERLINK \l _Toc16622 </w:instrText>
          </w:r>
          <w:r>
            <w:fldChar w:fldCharType="separate"/>
          </w:r>
          <w:r>
            <w:rPr>
              <w:rFonts w:hint="eastAsia"/>
            </w:rPr>
            <w:t>2.4 主要工艺流程及产污环节</w:t>
          </w:r>
          <w:r>
            <w:tab/>
          </w:r>
          <w:r>
            <w:fldChar w:fldCharType="begin"/>
          </w:r>
          <w:r>
            <w:instrText xml:space="preserve"> PAGEREF _Toc16622 \h </w:instrText>
          </w:r>
          <w:r>
            <w:fldChar w:fldCharType="separate"/>
          </w:r>
          <w:r>
            <w:t>- 6 -</w:t>
          </w:r>
          <w:r>
            <w:fldChar w:fldCharType="end"/>
          </w:r>
          <w:r>
            <w:fldChar w:fldCharType="end"/>
          </w:r>
        </w:p>
        <w:p>
          <w:pPr>
            <w:pStyle w:val="26"/>
            <w:tabs>
              <w:tab w:val="right" w:leader="dot" w:pos="8306"/>
              <w:tab w:val="clear" w:pos="420"/>
              <w:tab w:val="clear" w:pos="8640"/>
            </w:tabs>
          </w:pPr>
          <w:r>
            <w:fldChar w:fldCharType="begin"/>
          </w:r>
          <w:r>
            <w:instrText xml:space="preserve"> HYPERLINK \l _Toc4045 </w:instrText>
          </w:r>
          <w:r>
            <w:fldChar w:fldCharType="separate"/>
          </w:r>
          <w:r>
            <w:rPr>
              <w:rFonts w:hint="eastAsia" w:eastAsia="仿宋_GB2312"/>
            </w:rPr>
            <w:t xml:space="preserve">3 </w:t>
          </w:r>
          <w:r>
            <w:rPr>
              <w:rFonts w:hint="eastAsia"/>
            </w:rPr>
            <w:t>主要污染源、污染物处理和排放</w:t>
          </w:r>
          <w:r>
            <w:tab/>
          </w:r>
          <w:r>
            <w:fldChar w:fldCharType="begin"/>
          </w:r>
          <w:r>
            <w:instrText xml:space="preserve"> PAGEREF _Toc4045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_Toc21062 </w:instrText>
          </w:r>
          <w:r>
            <w:fldChar w:fldCharType="separate"/>
          </w:r>
          <w:r>
            <w:rPr>
              <w:rFonts w:hint="eastAsia"/>
              <w:lang w:eastAsia="zh-CN"/>
            </w:rPr>
            <w:t xml:space="preserve">3.1 </w:t>
          </w:r>
          <w:r>
            <w:rPr>
              <w:rFonts w:hint="eastAsia"/>
            </w:rPr>
            <w:t>废气</w:t>
          </w:r>
          <w:r>
            <w:tab/>
          </w:r>
          <w:r>
            <w:fldChar w:fldCharType="begin"/>
          </w:r>
          <w:r>
            <w:instrText xml:space="preserve"> PAGEREF _Toc21062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_Toc15882 </w:instrText>
          </w:r>
          <w:r>
            <w:fldChar w:fldCharType="separate"/>
          </w:r>
          <w:r>
            <w:rPr>
              <w:rFonts w:hint="eastAsia"/>
            </w:rPr>
            <w:t>3.2 废水</w:t>
          </w:r>
          <w:r>
            <w:tab/>
          </w:r>
          <w:r>
            <w:fldChar w:fldCharType="begin"/>
          </w:r>
          <w:r>
            <w:instrText xml:space="preserve"> PAGEREF _Toc15882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_Toc24543 </w:instrText>
          </w:r>
          <w:r>
            <w:fldChar w:fldCharType="separate"/>
          </w:r>
          <w:r>
            <w:rPr>
              <w:rFonts w:hint="eastAsia"/>
            </w:rPr>
            <w:t xml:space="preserve">3.3 </w:t>
          </w:r>
          <w:r>
            <w:t>噪声</w:t>
          </w:r>
          <w:r>
            <w:tab/>
          </w:r>
          <w:r>
            <w:fldChar w:fldCharType="begin"/>
          </w:r>
          <w:r>
            <w:instrText xml:space="preserve"> PAGEREF _Toc24543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_Toc3825 </w:instrText>
          </w:r>
          <w:r>
            <w:fldChar w:fldCharType="separate"/>
          </w:r>
          <w:r>
            <w:rPr>
              <w:rFonts w:hint="eastAsia"/>
            </w:rPr>
            <w:t>3.4 固体废物</w:t>
          </w:r>
          <w:r>
            <w:tab/>
          </w:r>
          <w:r>
            <w:fldChar w:fldCharType="begin"/>
          </w:r>
          <w:r>
            <w:instrText xml:space="preserve"> PAGEREF _Toc3825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_Toc14397 </w:instrText>
          </w:r>
          <w:r>
            <w:fldChar w:fldCharType="separate"/>
          </w:r>
          <w:r>
            <w:rPr>
              <w:rFonts w:hint="eastAsia"/>
            </w:rPr>
            <w:t>3.5 环保设施投资及“三同时”落实情况</w:t>
          </w:r>
          <w:r>
            <w:tab/>
          </w:r>
          <w:r>
            <w:fldChar w:fldCharType="begin"/>
          </w:r>
          <w:r>
            <w:instrText xml:space="preserve"> PAGEREF _Toc14397 \h </w:instrText>
          </w:r>
          <w:r>
            <w:fldChar w:fldCharType="separate"/>
          </w:r>
          <w:r>
            <w:t>- 9 -</w:t>
          </w:r>
          <w:r>
            <w:fldChar w:fldCharType="end"/>
          </w:r>
          <w:r>
            <w:fldChar w:fldCharType="end"/>
          </w:r>
        </w:p>
        <w:p>
          <w:pPr>
            <w:pStyle w:val="31"/>
            <w:tabs>
              <w:tab w:val="right" w:leader="dot" w:pos="8306"/>
              <w:tab w:val="clear" w:pos="735"/>
              <w:tab w:val="clear" w:pos="8610"/>
            </w:tabs>
          </w:pPr>
          <w:r>
            <w:fldChar w:fldCharType="begin"/>
          </w:r>
          <w:r>
            <w:instrText xml:space="preserve"> HYPERLINK \l _Toc31811 </w:instrText>
          </w:r>
          <w:r>
            <w:fldChar w:fldCharType="separate"/>
          </w:r>
          <w:r>
            <w:rPr>
              <w:rFonts w:hint="eastAsia"/>
            </w:rPr>
            <w:t>3.</w:t>
          </w:r>
          <w:r>
            <w:rPr>
              <w:rFonts w:hint="eastAsia"/>
              <w:lang w:val="en-US" w:eastAsia="zh-CN"/>
            </w:rPr>
            <w:t>6</w:t>
          </w:r>
          <w:r>
            <w:rPr>
              <w:rFonts w:hint="eastAsia"/>
            </w:rPr>
            <w:t>污染物排放总量控制指标</w:t>
          </w:r>
          <w:r>
            <w:tab/>
          </w:r>
          <w:r>
            <w:fldChar w:fldCharType="begin"/>
          </w:r>
          <w:r>
            <w:instrText xml:space="preserve"> PAGEREF _Toc31811 \h </w:instrText>
          </w:r>
          <w:r>
            <w:fldChar w:fldCharType="separate"/>
          </w:r>
          <w:r>
            <w:t>- 9 -</w:t>
          </w:r>
          <w:r>
            <w:fldChar w:fldCharType="end"/>
          </w:r>
          <w:r>
            <w:fldChar w:fldCharType="end"/>
          </w:r>
        </w:p>
        <w:p>
          <w:pPr>
            <w:pStyle w:val="26"/>
            <w:tabs>
              <w:tab w:val="right" w:leader="dot" w:pos="8306"/>
              <w:tab w:val="clear" w:pos="420"/>
              <w:tab w:val="clear" w:pos="8640"/>
            </w:tabs>
          </w:pPr>
          <w:r>
            <w:fldChar w:fldCharType="begin"/>
          </w:r>
          <w:r>
            <w:instrText xml:space="preserve"> HYPERLINK \l _Toc1571 </w:instrText>
          </w:r>
          <w:r>
            <w:fldChar w:fldCharType="separate"/>
          </w:r>
          <w:r>
            <w:rPr>
              <w:rFonts w:hint="eastAsia"/>
            </w:rPr>
            <w:t>4 建设项目环境影响</w:t>
          </w:r>
          <w:r>
            <w:rPr>
              <w:rFonts w:hint="eastAsia"/>
              <w:lang w:eastAsia="zh-CN"/>
            </w:rPr>
            <w:t>备案</w:t>
          </w:r>
          <w:r>
            <w:rPr>
              <w:rFonts w:hint="eastAsia"/>
            </w:rPr>
            <w:t>表主要结论：</w:t>
          </w:r>
          <w:r>
            <w:tab/>
          </w:r>
          <w:r>
            <w:fldChar w:fldCharType="begin"/>
          </w:r>
          <w:r>
            <w:instrText xml:space="preserve"> PAGEREF _Toc1571 \h </w:instrText>
          </w:r>
          <w:r>
            <w:fldChar w:fldCharType="separate"/>
          </w:r>
          <w:r>
            <w:t>- 10 -</w:t>
          </w:r>
          <w:r>
            <w:fldChar w:fldCharType="end"/>
          </w:r>
          <w:r>
            <w:fldChar w:fldCharType="end"/>
          </w:r>
        </w:p>
        <w:p>
          <w:pPr>
            <w:pStyle w:val="31"/>
            <w:tabs>
              <w:tab w:val="right" w:leader="dot" w:pos="8306"/>
              <w:tab w:val="clear" w:pos="735"/>
              <w:tab w:val="clear" w:pos="8610"/>
            </w:tabs>
          </w:pPr>
          <w:r>
            <w:fldChar w:fldCharType="begin"/>
          </w:r>
          <w:r>
            <w:instrText xml:space="preserve"> HYPERLINK \l _Toc26011 </w:instrText>
          </w:r>
          <w:r>
            <w:fldChar w:fldCharType="separate"/>
          </w:r>
          <w:r>
            <w:rPr>
              <w:rFonts w:hint="eastAsia"/>
            </w:rPr>
            <w:t>4.1 建设项目环评报告书（表）的主要结论与建议</w:t>
          </w:r>
          <w:r>
            <w:tab/>
          </w:r>
          <w:r>
            <w:fldChar w:fldCharType="begin"/>
          </w:r>
          <w:r>
            <w:instrText xml:space="preserve"> PAGEREF _Toc26011 \h </w:instrText>
          </w:r>
          <w:r>
            <w:fldChar w:fldCharType="separate"/>
          </w:r>
          <w:r>
            <w:t>- 10 -</w:t>
          </w:r>
          <w:r>
            <w:fldChar w:fldCharType="end"/>
          </w:r>
          <w:r>
            <w:fldChar w:fldCharType="end"/>
          </w:r>
        </w:p>
        <w:p>
          <w:pPr>
            <w:pStyle w:val="31"/>
            <w:tabs>
              <w:tab w:val="right" w:leader="dot" w:pos="8306"/>
              <w:tab w:val="clear" w:pos="735"/>
              <w:tab w:val="clear" w:pos="8610"/>
            </w:tabs>
          </w:pPr>
          <w:r>
            <w:fldChar w:fldCharType="begin"/>
          </w:r>
          <w:r>
            <w:instrText xml:space="preserve"> HYPERLINK \l _Toc4892 </w:instrText>
          </w:r>
          <w:r>
            <w:fldChar w:fldCharType="separate"/>
          </w:r>
          <w:r>
            <w:rPr>
              <w:rFonts w:hint="eastAsia"/>
              <w:lang w:val="en-US" w:eastAsia="zh-CN"/>
            </w:rPr>
            <w:t xml:space="preserve">4.2 </w:t>
          </w:r>
          <w:r>
            <w:rPr>
              <w:rFonts w:hint="eastAsia"/>
            </w:rPr>
            <w:t>审批部门审批</w:t>
          </w:r>
          <w:r>
            <w:rPr>
              <w:rFonts w:hint="eastAsia"/>
              <w:lang w:val="en-US" w:eastAsia="zh-CN"/>
            </w:rPr>
            <w:t>意见</w:t>
          </w:r>
          <w:r>
            <w:tab/>
          </w:r>
          <w:r>
            <w:fldChar w:fldCharType="begin"/>
          </w:r>
          <w:r>
            <w:instrText xml:space="preserve"> PAGEREF _Toc4892 \h </w:instrText>
          </w:r>
          <w:r>
            <w:fldChar w:fldCharType="separate"/>
          </w:r>
          <w:r>
            <w:t>- 11 -</w:t>
          </w:r>
          <w:r>
            <w:fldChar w:fldCharType="end"/>
          </w:r>
          <w:r>
            <w:fldChar w:fldCharType="end"/>
          </w:r>
        </w:p>
        <w:p>
          <w:pPr>
            <w:pStyle w:val="31"/>
            <w:tabs>
              <w:tab w:val="right" w:leader="dot" w:pos="8306"/>
              <w:tab w:val="clear" w:pos="735"/>
              <w:tab w:val="clear" w:pos="8610"/>
            </w:tabs>
          </w:pPr>
          <w:r>
            <w:fldChar w:fldCharType="begin"/>
          </w:r>
          <w:r>
            <w:instrText xml:space="preserve"> HYPERLINK \l _Toc7499 </w:instrText>
          </w:r>
          <w:r>
            <w:fldChar w:fldCharType="separate"/>
          </w:r>
          <w:r>
            <w:rPr>
              <w:rFonts w:hint="eastAsia"/>
            </w:rPr>
            <w:t>4.3 环境保护措施落实情况</w:t>
          </w:r>
          <w:r>
            <w:tab/>
          </w:r>
          <w:r>
            <w:fldChar w:fldCharType="begin"/>
          </w:r>
          <w:r>
            <w:instrText xml:space="preserve"> PAGEREF _Toc7499 \h </w:instrText>
          </w:r>
          <w:r>
            <w:fldChar w:fldCharType="separate"/>
          </w:r>
          <w:r>
            <w:t>- 12 -</w:t>
          </w:r>
          <w:r>
            <w:fldChar w:fldCharType="end"/>
          </w:r>
          <w:r>
            <w:fldChar w:fldCharType="end"/>
          </w:r>
        </w:p>
        <w:p>
          <w:pPr>
            <w:pStyle w:val="26"/>
            <w:tabs>
              <w:tab w:val="right" w:leader="dot" w:pos="8306"/>
              <w:tab w:val="clear" w:pos="420"/>
              <w:tab w:val="clear" w:pos="8640"/>
            </w:tabs>
          </w:pPr>
          <w:r>
            <w:fldChar w:fldCharType="begin"/>
          </w:r>
          <w:r>
            <w:instrText xml:space="preserve"> HYPERLINK \l _Toc2382 </w:instrText>
          </w:r>
          <w:r>
            <w:fldChar w:fldCharType="separate"/>
          </w:r>
          <w:r>
            <w:rPr>
              <w:rFonts w:hint="eastAsia" w:eastAsia="仿宋_GB2312"/>
            </w:rPr>
            <w:t xml:space="preserve">5 </w:t>
          </w:r>
          <w:r>
            <w:rPr>
              <w:rFonts w:hint="eastAsia"/>
            </w:rPr>
            <w:t>验收监测质量保证及质量控制：</w:t>
          </w:r>
          <w:r>
            <w:tab/>
          </w:r>
          <w:r>
            <w:fldChar w:fldCharType="begin"/>
          </w:r>
          <w:r>
            <w:instrText xml:space="preserve"> PAGEREF _Toc2382 \h </w:instrText>
          </w:r>
          <w:r>
            <w:fldChar w:fldCharType="separate"/>
          </w:r>
          <w:r>
            <w:t>- 13 -</w:t>
          </w:r>
          <w:r>
            <w:fldChar w:fldCharType="end"/>
          </w:r>
          <w:r>
            <w:fldChar w:fldCharType="end"/>
          </w:r>
        </w:p>
        <w:p>
          <w:pPr>
            <w:pStyle w:val="31"/>
            <w:tabs>
              <w:tab w:val="right" w:leader="dot" w:pos="8306"/>
              <w:tab w:val="clear" w:pos="735"/>
              <w:tab w:val="clear" w:pos="8610"/>
            </w:tabs>
          </w:pPr>
          <w:r>
            <w:fldChar w:fldCharType="begin"/>
          </w:r>
          <w:r>
            <w:instrText xml:space="preserve"> HYPERLINK \l _Toc29128 </w:instrText>
          </w:r>
          <w:r>
            <w:fldChar w:fldCharType="separate"/>
          </w:r>
          <w:r>
            <w:rPr>
              <w:rFonts w:hint="eastAsia"/>
            </w:rPr>
            <w:t>5.1 监测分析方法</w:t>
          </w:r>
          <w:r>
            <w:tab/>
          </w:r>
          <w:r>
            <w:fldChar w:fldCharType="begin"/>
          </w:r>
          <w:r>
            <w:instrText xml:space="preserve"> PAGEREF _Toc29128 \h </w:instrText>
          </w:r>
          <w:r>
            <w:fldChar w:fldCharType="separate"/>
          </w:r>
          <w:r>
            <w:t>- 13 -</w:t>
          </w:r>
          <w:r>
            <w:fldChar w:fldCharType="end"/>
          </w:r>
          <w:r>
            <w:fldChar w:fldCharType="end"/>
          </w:r>
        </w:p>
        <w:p>
          <w:pPr>
            <w:pStyle w:val="31"/>
            <w:tabs>
              <w:tab w:val="right" w:leader="dot" w:pos="8306"/>
              <w:tab w:val="clear" w:pos="735"/>
              <w:tab w:val="clear" w:pos="8610"/>
            </w:tabs>
          </w:pPr>
          <w:r>
            <w:fldChar w:fldCharType="begin"/>
          </w:r>
          <w:r>
            <w:instrText xml:space="preserve"> HYPERLINK \l _Toc28682 </w:instrText>
          </w:r>
          <w:r>
            <w:fldChar w:fldCharType="separate"/>
          </w:r>
          <w:r>
            <w:rPr>
              <w:rFonts w:hint="eastAsia"/>
            </w:rPr>
            <w:t>5.2 监测仪器</w:t>
          </w:r>
          <w:r>
            <w:tab/>
          </w:r>
          <w:r>
            <w:fldChar w:fldCharType="begin"/>
          </w:r>
          <w:r>
            <w:instrText xml:space="preserve"> PAGEREF _Toc28682 \h </w:instrText>
          </w:r>
          <w:r>
            <w:fldChar w:fldCharType="separate"/>
          </w:r>
          <w:r>
            <w:t>- 13 -</w:t>
          </w:r>
          <w:r>
            <w:fldChar w:fldCharType="end"/>
          </w:r>
          <w:r>
            <w:fldChar w:fldCharType="end"/>
          </w:r>
        </w:p>
        <w:p>
          <w:pPr>
            <w:pStyle w:val="31"/>
            <w:tabs>
              <w:tab w:val="right" w:leader="dot" w:pos="8306"/>
              <w:tab w:val="clear" w:pos="735"/>
              <w:tab w:val="clear" w:pos="8610"/>
            </w:tabs>
          </w:pPr>
          <w:r>
            <w:fldChar w:fldCharType="begin"/>
          </w:r>
          <w:r>
            <w:instrText xml:space="preserve"> HYPERLINK \l _Toc15011 </w:instrText>
          </w:r>
          <w:r>
            <w:fldChar w:fldCharType="separate"/>
          </w:r>
          <w:r>
            <w:rPr>
              <w:rFonts w:hint="eastAsia"/>
            </w:rPr>
            <w:t>5.3 人员资质</w:t>
          </w:r>
          <w:r>
            <w:tab/>
          </w:r>
          <w:r>
            <w:fldChar w:fldCharType="begin"/>
          </w:r>
          <w:r>
            <w:instrText xml:space="preserve"> PAGEREF _Toc15011 \h </w:instrText>
          </w:r>
          <w:r>
            <w:fldChar w:fldCharType="separate"/>
          </w:r>
          <w:r>
            <w:t>- 13 -</w:t>
          </w:r>
          <w:r>
            <w:fldChar w:fldCharType="end"/>
          </w:r>
          <w:r>
            <w:fldChar w:fldCharType="end"/>
          </w:r>
        </w:p>
        <w:p>
          <w:pPr>
            <w:pStyle w:val="31"/>
            <w:tabs>
              <w:tab w:val="right" w:leader="dot" w:pos="8306"/>
              <w:tab w:val="clear" w:pos="735"/>
              <w:tab w:val="clear" w:pos="8610"/>
            </w:tabs>
          </w:pPr>
          <w:r>
            <w:fldChar w:fldCharType="begin"/>
          </w:r>
          <w:r>
            <w:instrText xml:space="preserve"> HYPERLINK \l _Toc1388 </w:instrText>
          </w:r>
          <w:r>
            <w:fldChar w:fldCharType="separate"/>
          </w:r>
          <w:r>
            <w:rPr>
              <w:rFonts w:hint="eastAsia"/>
            </w:rPr>
            <w:t>5.4 质量保证和质量控制</w:t>
          </w:r>
          <w:r>
            <w:tab/>
          </w:r>
          <w:r>
            <w:fldChar w:fldCharType="begin"/>
          </w:r>
          <w:r>
            <w:instrText xml:space="preserve"> PAGEREF _Toc1388 \h </w:instrText>
          </w:r>
          <w:r>
            <w:fldChar w:fldCharType="separate"/>
          </w:r>
          <w:r>
            <w:t>- 13 -</w:t>
          </w:r>
          <w:r>
            <w:fldChar w:fldCharType="end"/>
          </w:r>
          <w:r>
            <w:fldChar w:fldCharType="end"/>
          </w:r>
        </w:p>
        <w:p>
          <w:pPr>
            <w:pStyle w:val="26"/>
            <w:tabs>
              <w:tab w:val="right" w:leader="dot" w:pos="8306"/>
              <w:tab w:val="clear" w:pos="420"/>
              <w:tab w:val="clear" w:pos="8640"/>
            </w:tabs>
          </w:pPr>
          <w:r>
            <w:fldChar w:fldCharType="begin"/>
          </w:r>
          <w:r>
            <w:instrText xml:space="preserve"> HYPERLINK \l _Toc30023 </w:instrText>
          </w:r>
          <w:r>
            <w:fldChar w:fldCharType="separate"/>
          </w:r>
          <w:r>
            <w:rPr>
              <w:rFonts w:hint="eastAsia"/>
            </w:rPr>
            <w:t>6 验收监测内容</w:t>
          </w:r>
          <w:r>
            <w:tab/>
          </w:r>
          <w:r>
            <w:fldChar w:fldCharType="begin"/>
          </w:r>
          <w:r>
            <w:instrText xml:space="preserve"> PAGEREF _Toc30023 \h </w:instrText>
          </w:r>
          <w:r>
            <w:fldChar w:fldCharType="separate"/>
          </w:r>
          <w:r>
            <w:t>- 15 -</w:t>
          </w:r>
          <w:r>
            <w:fldChar w:fldCharType="end"/>
          </w:r>
          <w:r>
            <w:fldChar w:fldCharType="end"/>
          </w:r>
        </w:p>
        <w:p>
          <w:pPr>
            <w:pStyle w:val="31"/>
            <w:tabs>
              <w:tab w:val="right" w:leader="dot" w:pos="8306"/>
              <w:tab w:val="clear" w:pos="735"/>
              <w:tab w:val="clear" w:pos="8610"/>
            </w:tabs>
          </w:pPr>
          <w:r>
            <w:fldChar w:fldCharType="begin"/>
          </w:r>
          <w:r>
            <w:instrText xml:space="preserve"> HYPERLINK \l _Toc1347 </w:instrText>
          </w:r>
          <w:r>
            <w:fldChar w:fldCharType="separate"/>
          </w:r>
          <w:r>
            <w:rPr>
              <w:rFonts w:hint="eastAsia"/>
            </w:rPr>
            <w:t>6.1 污染物达标排放及环境保护设施运行效率监测内容</w:t>
          </w:r>
          <w:r>
            <w:tab/>
          </w:r>
          <w:r>
            <w:fldChar w:fldCharType="begin"/>
          </w:r>
          <w:r>
            <w:instrText xml:space="preserve"> PAGEREF _Toc1347 \h </w:instrText>
          </w:r>
          <w:r>
            <w:fldChar w:fldCharType="separate"/>
          </w:r>
          <w:r>
            <w:t>- 15 -</w:t>
          </w:r>
          <w:r>
            <w:fldChar w:fldCharType="end"/>
          </w:r>
          <w:r>
            <w:fldChar w:fldCharType="end"/>
          </w:r>
        </w:p>
        <w:p>
          <w:pPr>
            <w:pStyle w:val="26"/>
            <w:tabs>
              <w:tab w:val="right" w:leader="dot" w:pos="8306"/>
              <w:tab w:val="clear" w:pos="420"/>
              <w:tab w:val="clear" w:pos="8640"/>
            </w:tabs>
          </w:pPr>
          <w:r>
            <w:fldChar w:fldCharType="begin"/>
          </w:r>
          <w:r>
            <w:instrText xml:space="preserve"> HYPERLINK \l _Toc10215 </w:instrText>
          </w:r>
          <w:r>
            <w:fldChar w:fldCharType="separate"/>
          </w:r>
          <w:r>
            <w:rPr>
              <w:rFonts w:hint="eastAsia"/>
            </w:rPr>
            <w:t>7 验收监测期间生产工况记录：</w:t>
          </w:r>
          <w:r>
            <w:tab/>
          </w:r>
          <w:r>
            <w:fldChar w:fldCharType="begin"/>
          </w:r>
          <w:r>
            <w:instrText xml:space="preserve"> PAGEREF _Toc10215 \h </w:instrText>
          </w:r>
          <w:r>
            <w:fldChar w:fldCharType="separate"/>
          </w:r>
          <w:r>
            <w:t>- 16 -</w:t>
          </w:r>
          <w:r>
            <w:fldChar w:fldCharType="end"/>
          </w:r>
          <w:r>
            <w:fldChar w:fldCharType="end"/>
          </w:r>
        </w:p>
        <w:p>
          <w:pPr>
            <w:pStyle w:val="31"/>
            <w:tabs>
              <w:tab w:val="right" w:leader="dot" w:pos="8306"/>
              <w:tab w:val="clear" w:pos="735"/>
              <w:tab w:val="clear" w:pos="8610"/>
            </w:tabs>
          </w:pPr>
          <w:r>
            <w:fldChar w:fldCharType="begin"/>
          </w:r>
          <w:r>
            <w:instrText xml:space="preserve"> HYPERLINK \l _Toc2311 </w:instrText>
          </w:r>
          <w:r>
            <w:fldChar w:fldCharType="separate"/>
          </w:r>
          <w:r>
            <w:rPr>
              <w:rFonts w:hint="eastAsia"/>
            </w:rPr>
            <w:t>7.1 验收工况</w:t>
          </w:r>
          <w:r>
            <w:tab/>
          </w:r>
          <w:r>
            <w:fldChar w:fldCharType="begin"/>
          </w:r>
          <w:r>
            <w:instrText xml:space="preserve"> PAGEREF _Toc2311 \h </w:instrText>
          </w:r>
          <w:r>
            <w:fldChar w:fldCharType="separate"/>
          </w:r>
          <w:r>
            <w:t>- 16 -</w:t>
          </w:r>
          <w:r>
            <w:fldChar w:fldCharType="end"/>
          </w:r>
          <w:r>
            <w:fldChar w:fldCharType="end"/>
          </w:r>
        </w:p>
        <w:p>
          <w:pPr>
            <w:pStyle w:val="31"/>
            <w:tabs>
              <w:tab w:val="right" w:leader="dot" w:pos="8306"/>
              <w:tab w:val="clear" w:pos="735"/>
              <w:tab w:val="clear" w:pos="8610"/>
            </w:tabs>
          </w:pPr>
          <w:r>
            <w:fldChar w:fldCharType="begin"/>
          </w:r>
          <w:r>
            <w:instrText xml:space="preserve"> HYPERLINK \l _Toc21689 </w:instrText>
          </w:r>
          <w:r>
            <w:fldChar w:fldCharType="separate"/>
          </w:r>
          <w:r>
            <w:rPr>
              <w:rFonts w:hint="eastAsia"/>
            </w:rPr>
            <w:t>7.2 验收监测结果</w:t>
          </w:r>
          <w:r>
            <w:tab/>
          </w:r>
          <w:r>
            <w:fldChar w:fldCharType="begin"/>
          </w:r>
          <w:r>
            <w:instrText xml:space="preserve"> PAGEREF _Toc21689 \h </w:instrText>
          </w:r>
          <w:r>
            <w:fldChar w:fldCharType="separate"/>
          </w:r>
          <w:r>
            <w:t>- 16 -</w:t>
          </w:r>
          <w:r>
            <w:fldChar w:fldCharType="end"/>
          </w:r>
          <w:r>
            <w:fldChar w:fldCharType="end"/>
          </w:r>
        </w:p>
        <w:p>
          <w:pPr>
            <w:pStyle w:val="26"/>
            <w:tabs>
              <w:tab w:val="right" w:leader="dot" w:pos="8306"/>
              <w:tab w:val="clear" w:pos="420"/>
              <w:tab w:val="clear" w:pos="8640"/>
            </w:tabs>
          </w:pPr>
          <w:r>
            <w:fldChar w:fldCharType="begin"/>
          </w:r>
          <w:r>
            <w:instrText xml:space="preserve"> HYPERLINK \l _Toc27500 </w:instrText>
          </w:r>
          <w:r>
            <w:fldChar w:fldCharType="separate"/>
          </w:r>
          <w:r>
            <w:rPr>
              <w:rFonts w:hint="eastAsia" w:eastAsia="仿宋_GB2312"/>
            </w:rPr>
            <w:t xml:space="preserve">8 </w:t>
          </w:r>
          <w:r>
            <w:rPr>
              <w:rFonts w:hint="eastAsia"/>
            </w:rPr>
            <w:t>验收监测结论</w:t>
          </w:r>
          <w:r>
            <w:tab/>
          </w:r>
          <w:r>
            <w:fldChar w:fldCharType="begin"/>
          </w:r>
          <w:r>
            <w:instrText xml:space="preserve"> PAGEREF _Toc27500 \h </w:instrText>
          </w:r>
          <w:r>
            <w:fldChar w:fldCharType="separate"/>
          </w:r>
          <w:r>
            <w:t>- 19 -</w:t>
          </w:r>
          <w:r>
            <w:fldChar w:fldCharType="end"/>
          </w:r>
          <w:r>
            <w:fldChar w:fldCharType="end"/>
          </w:r>
        </w:p>
        <w:p>
          <w:pPr>
            <w:pStyle w:val="31"/>
            <w:tabs>
              <w:tab w:val="right" w:leader="dot" w:pos="8306"/>
              <w:tab w:val="clear" w:pos="735"/>
              <w:tab w:val="clear" w:pos="8610"/>
            </w:tabs>
          </w:pPr>
          <w:r>
            <w:fldChar w:fldCharType="begin"/>
          </w:r>
          <w:r>
            <w:instrText xml:space="preserve"> HYPERLINK \l _Toc10549 </w:instrText>
          </w:r>
          <w:r>
            <w:fldChar w:fldCharType="separate"/>
          </w:r>
          <w:r>
            <w:rPr>
              <w:rFonts w:hint="eastAsia"/>
            </w:rPr>
            <w:t>8.1 结论</w:t>
          </w:r>
          <w:r>
            <w:tab/>
          </w:r>
          <w:r>
            <w:fldChar w:fldCharType="begin"/>
          </w:r>
          <w:r>
            <w:instrText xml:space="preserve"> PAGEREF _Toc10549 \h </w:instrText>
          </w:r>
          <w:r>
            <w:fldChar w:fldCharType="separate"/>
          </w:r>
          <w:r>
            <w:t>- 19 -</w:t>
          </w:r>
          <w:r>
            <w:fldChar w:fldCharType="end"/>
          </w:r>
          <w:r>
            <w:fldChar w:fldCharType="end"/>
          </w:r>
        </w:p>
        <w:p>
          <w:pPr>
            <w:pStyle w:val="31"/>
            <w:tabs>
              <w:tab w:val="right" w:leader="dot" w:pos="8306"/>
              <w:tab w:val="clear" w:pos="735"/>
              <w:tab w:val="clear" w:pos="8610"/>
            </w:tabs>
          </w:pPr>
          <w:r>
            <w:fldChar w:fldCharType="begin"/>
          </w:r>
          <w:r>
            <w:instrText xml:space="preserve"> HYPERLINK \l _Toc22588 </w:instrText>
          </w:r>
          <w:r>
            <w:fldChar w:fldCharType="separate"/>
          </w:r>
          <w:r>
            <w:rPr>
              <w:rFonts w:hint="eastAsia"/>
            </w:rPr>
            <w:t>8.2 建议</w:t>
          </w:r>
          <w:r>
            <w:tab/>
          </w:r>
          <w:r>
            <w:fldChar w:fldCharType="begin"/>
          </w:r>
          <w:r>
            <w:instrText xml:space="preserve"> PAGEREF _Toc22588 \h </w:instrText>
          </w:r>
          <w:r>
            <w:fldChar w:fldCharType="separate"/>
          </w:r>
          <w:r>
            <w:t>- 19 -</w:t>
          </w:r>
          <w:r>
            <w:fldChar w:fldCharType="end"/>
          </w:r>
          <w:r>
            <w:fldChar w:fldCharType="end"/>
          </w:r>
        </w:p>
        <w:p>
          <w:pPr>
            <w:pStyle w:val="26"/>
            <w:tabs>
              <w:tab w:val="right" w:leader="dot" w:pos="8306"/>
              <w:tab w:val="clear" w:pos="420"/>
              <w:tab w:val="clear" w:pos="8640"/>
            </w:tabs>
          </w:pPr>
          <w:r>
            <w:fldChar w:fldCharType="begin"/>
          </w:r>
          <w:r>
            <w:instrText xml:space="preserve"> HYPERLINK \l _Toc7985 </w:instrText>
          </w:r>
          <w:r>
            <w:fldChar w:fldCharType="separate"/>
          </w:r>
          <w:r>
            <w:rPr>
              <w:rFonts w:hint="eastAsia"/>
            </w:rPr>
            <w:t>9 附件与附图</w:t>
          </w:r>
          <w:r>
            <w:tab/>
          </w:r>
          <w:r>
            <w:fldChar w:fldCharType="begin"/>
          </w:r>
          <w:r>
            <w:instrText xml:space="preserve"> PAGEREF _Toc7985 \h </w:instrText>
          </w:r>
          <w:r>
            <w:fldChar w:fldCharType="separate"/>
          </w:r>
          <w:r>
            <w:t>- 20 -</w:t>
          </w:r>
          <w:r>
            <w:fldChar w:fldCharType="end"/>
          </w:r>
          <w:r>
            <w:fldChar w:fldCharType="end"/>
          </w:r>
        </w:p>
        <w:p>
          <w:pPr>
            <w:pStyle w:val="31"/>
            <w:tabs>
              <w:tab w:val="right" w:leader="dot" w:pos="8306"/>
              <w:tab w:val="clear" w:pos="735"/>
              <w:tab w:val="clear" w:pos="8610"/>
            </w:tabs>
          </w:pPr>
          <w:r>
            <w:fldChar w:fldCharType="begin"/>
          </w:r>
          <w:r>
            <w:instrText xml:space="preserve"> HYPERLINK \l _Toc26272 </w:instrText>
          </w:r>
          <w:r>
            <w:fldChar w:fldCharType="separate"/>
          </w:r>
          <w:r>
            <w:rPr>
              <w:rFonts w:hint="eastAsia"/>
            </w:rPr>
            <w:t>9.1 附件</w:t>
          </w:r>
          <w:r>
            <w:rPr>
              <w:rFonts w:hint="eastAsia"/>
              <w:lang w:eastAsia="zh-CN"/>
            </w:rPr>
            <w:t>一</w:t>
          </w:r>
          <w:r>
            <w:rPr>
              <w:rFonts w:hint="eastAsia"/>
            </w:rPr>
            <w:t xml:space="preserve"> </w:t>
          </w:r>
          <w:r>
            <w:rPr>
              <w:rFonts w:hint="eastAsia"/>
              <w:lang w:eastAsia="zh-CN"/>
            </w:rPr>
            <w:t>营业执照</w:t>
          </w:r>
          <w:r>
            <w:tab/>
          </w:r>
          <w:r>
            <w:fldChar w:fldCharType="begin"/>
          </w:r>
          <w:r>
            <w:instrText xml:space="preserve"> PAGEREF _Toc26272 \h </w:instrText>
          </w:r>
          <w:r>
            <w:fldChar w:fldCharType="separate"/>
          </w:r>
          <w:r>
            <w:t>- 20 -</w:t>
          </w:r>
          <w:r>
            <w:fldChar w:fldCharType="end"/>
          </w:r>
          <w:r>
            <w:fldChar w:fldCharType="end"/>
          </w:r>
        </w:p>
        <w:p>
          <w:pPr>
            <w:pStyle w:val="31"/>
            <w:tabs>
              <w:tab w:val="right" w:leader="dot" w:pos="8306"/>
              <w:tab w:val="clear" w:pos="735"/>
              <w:tab w:val="clear" w:pos="8610"/>
            </w:tabs>
          </w:pPr>
          <w:r>
            <w:fldChar w:fldCharType="begin"/>
          </w:r>
          <w:r>
            <w:instrText xml:space="preserve"> HYPERLINK \l _Toc12826 </w:instrText>
          </w:r>
          <w:r>
            <w:fldChar w:fldCharType="separate"/>
          </w:r>
          <w:r>
            <w:rPr>
              <w:rFonts w:hint="eastAsia"/>
            </w:rPr>
            <w:t>9.2 附件</w:t>
          </w:r>
          <w:r>
            <w:rPr>
              <w:rFonts w:hint="eastAsia"/>
              <w:lang w:eastAsia="zh-CN"/>
            </w:rPr>
            <w:t>二</w:t>
          </w:r>
          <w:r>
            <w:rPr>
              <w:rFonts w:hint="eastAsia"/>
            </w:rPr>
            <w:t xml:space="preserve"> </w:t>
          </w:r>
          <w:r>
            <w:rPr>
              <w:rFonts w:hint="eastAsia"/>
              <w:lang w:eastAsia="zh-CN"/>
            </w:rPr>
            <w:t>报告表批复</w:t>
          </w:r>
          <w:r>
            <w:tab/>
          </w:r>
          <w:r>
            <w:fldChar w:fldCharType="begin"/>
          </w:r>
          <w:r>
            <w:instrText xml:space="preserve"> PAGEREF _Toc12826 \h </w:instrText>
          </w:r>
          <w:r>
            <w:fldChar w:fldCharType="separate"/>
          </w:r>
          <w:r>
            <w:t>- 21 -</w:t>
          </w:r>
          <w:r>
            <w:fldChar w:fldCharType="end"/>
          </w:r>
          <w:r>
            <w:fldChar w:fldCharType="end"/>
          </w:r>
        </w:p>
        <w:p>
          <w:pPr>
            <w:pStyle w:val="31"/>
            <w:tabs>
              <w:tab w:val="right" w:leader="dot" w:pos="8306"/>
              <w:tab w:val="clear" w:pos="735"/>
              <w:tab w:val="clear" w:pos="8610"/>
            </w:tabs>
          </w:pPr>
          <w:r>
            <w:fldChar w:fldCharType="begin"/>
          </w:r>
          <w:r>
            <w:instrText xml:space="preserve"> HYPERLINK \l _Toc17994 </w:instrText>
          </w:r>
          <w:r>
            <w:fldChar w:fldCharType="separate"/>
          </w:r>
          <w:r>
            <w:rPr>
              <w:rFonts w:hint="eastAsia"/>
            </w:rPr>
            <w:t>9.3 附件</w:t>
          </w:r>
          <w:r>
            <w:rPr>
              <w:rFonts w:hint="eastAsia"/>
              <w:lang w:eastAsia="zh-CN"/>
            </w:rPr>
            <w:t>三</w:t>
          </w:r>
          <w:r>
            <w:rPr>
              <w:rFonts w:hint="eastAsia"/>
            </w:rPr>
            <w:t xml:space="preserve"> 检测报告</w:t>
          </w:r>
          <w:r>
            <w:tab/>
          </w:r>
          <w:r>
            <w:fldChar w:fldCharType="begin"/>
          </w:r>
          <w:r>
            <w:instrText xml:space="preserve"> PAGEREF _Toc17994 \h </w:instrText>
          </w:r>
          <w:r>
            <w:fldChar w:fldCharType="separate"/>
          </w:r>
          <w:r>
            <w:t>- 22 -</w:t>
          </w:r>
          <w:r>
            <w:fldChar w:fldCharType="end"/>
          </w:r>
          <w:r>
            <w:fldChar w:fldCharType="end"/>
          </w:r>
        </w:p>
        <w:p>
          <w:pPr>
            <w:pStyle w:val="31"/>
            <w:tabs>
              <w:tab w:val="right" w:leader="dot" w:pos="8306"/>
              <w:tab w:val="clear" w:pos="735"/>
              <w:tab w:val="clear" w:pos="8610"/>
            </w:tabs>
          </w:pPr>
          <w:r>
            <w:fldChar w:fldCharType="begin"/>
          </w:r>
          <w:r>
            <w:instrText xml:space="preserve"> HYPERLINK \l _Toc21009 </w:instrText>
          </w:r>
          <w:r>
            <w:fldChar w:fldCharType="separate"/>
          </w:r>
          <w:r>
            <w:rPr>
              <w:rFonts w:hint="eastAsia"/>
            </w:rPr>
            <w:t>9.4 附件</w:t>
          </w:r>
          <w:r>
            <w:rPr>
              <w:rFonts w:hint="eastAsia"/>
              <w:lang w:eastAsia="zh-CN"/>
            </w:rPr>
            <w:t>四</w:t>
          </w:r>
          <w:r>
            <w:rPr>
              <w:rFonts w:hint="eastAsia"/>
            </w:rPr>
            <w:t xml:space="preserve"> </w:t>
          </w:r>
          <w:r>
            <w:rPr>
              <w:rFonts w:hint="eastAsia"/>
              <w:lang w:eastAsia="zh-CN"/>
            </w:rPr>
            <w:t>固废协议</w:t>
          </w:r>
          <w:r>
            <w:tab/>
          </w:r>
          <w:r>
            <w:fldChar w:fldCharType="begin"/>
          </w:r>
          <w:r>
            <w:instrText xml:space="preserve"> PAGEREF _Toc21009 \h </w:instrText>
          </w:r>
          <w:r>
            <w:fldChar w:fldCharType="separate"/>
          </w:r>
          <w:r>
            <w:t>- 27 -</w:t>
          </w:r>
          <w:r>
            <w:fldChar w:fldCharType="end"/>
          </w:r>
          <w:r>
            <w:fldChar w:fldCharType="end"/>
          </w:r>
        </w:p>
        <w:p>
          <w:pPr>
            <w:pStyle w:val="26"/>
            <w:tabs>
              <w:tab w:val="right" w:leader="dot" w:pos="8306"/>
              <w:tab w:val="clear" w:pos="420"/>
              <w:tab w:val="clear" w:pos="8640"/>
            </w:tabs>
          </w:pPr>
          <w:r>
            <w:fldChar w:fldCharType="begin"/>
          </w:r>
          <w:r>
            <w:instrText xml:space="preserve"> HYPERLINK \l _Toc4390 </w:instrText>
          </w:r>
          <w:r>
            <w:fldChar w:fldCharType="separate"/>
          </w:r>
          <w:r>
            <w:rPr>
              <w:rFonts w:hint="default"/>
              <w:lang w:eastAsia="zh-CN"/>
            </w:rPr>
            <w:t>其他事项说明</w:t>
          </w:r>
          <w:r>
            <w:tab/>
          </w:r>
          <w:r>
            <w:fldChar w:fldCharType="begin"/>
          </w:r>
          <w:r>
            <w:instrText xml:space="preserve"> PAGEREF _Toc4390 \h </w:instrText>
          </w:r>
          <w:r>
            <w:fldChar w:fldCharType="separate"/>
          </w:r>
          <w:r>
            <w:t>- 40 -</w:t>
          </w:r>
          <w:r>
            <w:fldChar w:fldCharType="end"/>
          </w:r>
          <w:r>
            <w:fldChar w:fldCharType="end"/>
          </w:r>
        </w:p>
        <w:p>
          <w:r>
            <w:fldChar w:fldCharType="end"/>
          </w:r>
        </w:p>
      </w:sdtContent>
    </w:sdt>
    <w:p>
      <w:pPr>
        <w:spacing w:line="360" w:lineRule="auto"/>
        <w:rPr>
          <w:rFonts w:ascii="仿宋_GB2312" w:eastAsia="仿宋_GB2312"/>
          <w:color w:val="000000"/>
          <w:sz w:val="24"/>
        </w:rPr>
        <w:sectPr>
          <w:type w:val="continuous"/>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pStyle w:val="3"/>
        <w:rPr>
          <w:rFonts w:eastAsia="仿宋_GB2312"/>
        </w:rPr>
      </w:pPr>
      <w:bookmarkStart w:id="338" w:name="_GoBack"/>
      <w:bookmarkEnd w:id="338"/>
      <w:bookmarkStart w:id="2" w:name="_Toc31572"/>
      <w:bookmarkStart w:id="3" w:name="_Toc32129"/>
      <w:r>
        <w:t>建设项目</w:t>
      </w:r>
      <w:r>
        <w:rPr>
          <w:rFonts w:hint="eastAsia"/>
        </w:rPr>
        <w:t>基本情况</w:t>
      </w:r>
      <w:bookmarkEnd w:id="2"/>
      <w:bookmarkEnd w:id="3"/>
    </w:p>
    <w:tbl>
      <w:tblPr>
        <w:tblStyle w:val="37"/>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552"/>
        <w:gridCol w:w="1984"/>
        <w:gridCol w:w="100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建设项目名称</w:t>
            </w:r>
          </w:p>
        </w:tc>
        <w:tc>
          <w:tcPr>
            <w:tcW w:w="7339" w:type="dxa"/>
            <w:gridSpan w:val="5"/>
            <w:vAlign w:val="center"/>
          </w:tcPr>
          <w:p>
            <w:pPr>
              <w:rPr>
                <w:rFonts w:hint="default" w:eastAsia="宋体"/>
                <w:color w:val="000000"/>
                <w:szCs w:val="21"/>
                <w:lang w:val="en-US" w:eastAsia="zh-CN"/>
              </w:rPr>
            </w:pPr>
            <w:r>
              <w:rPr>
                <w:rFonts w:hint="eastAsia"/>
                <w:lang w:val="en-US" w:eastAsia="zh-CN"/>
              </w:rPr>
              <w:t>年印50万衣片印花（水性及油性）项目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建设单位名称</w:t>
            </w:r>
          </w:p>
        </w:tc>
        <w:tc>
          <w:tcPr>
            <w:tcW w:w="7339" w:type="dxa"/>
            <w:gridSpan w:val="5"/>
            <w:vAlign w:val="center"/>
          </w:tcPr>
          <w:p>
            <w:pPr>
              <w:rPr>
                <w:rFonts w:hint="default" w:eastAsia="宋体"/>
                <w:color w:val="000000"/>
                <w:szCs w:val="21"/>
                <w:lang w:val="en-US" w:eastAsia="zh-CN"/>
              </w:rPr>
            </w:pPr>
            <w:r>
              <w:rPr>
                <w:rFonts w:hint="eastAsia"/>
                <w:lang w:val="en-US" w:eastAsia="zh-CN"/>
              </w:rPr>
              <w:t>宁波市海曙古林宏通印花厂（普通合伙）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建设项目性质</w:t>
            </w:r>
          </w:p>
        </w:tc>
        <w:tc>
          <w:tcPr>
            <w:tcW w:w="7339" w:type="dxa"/>
            <w:gridSpan w:val="5"/>
            <w:vAlign w:val="center"/>
          </w:tcPr>
          <w:p>
            <w:pPr>
              <w:rPr>
                <w:rFonts w:hint="eastAsia" w:eastAsia="宋体"/>
                <w:color w:val="000000"/>
                <w:szCs w:val="21"/>
                <w:lang w:eastAsia="zh-CN"/>
              </w:rPr>
            </w:pPr>
            <w:r>
              <w:rPr>
                <w:rFonts w:hint="eastAsia"/>
                <w:color w:val="000000"/>
                <w:szCs w:val="21"/>
                <w:lang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建设地点</w:t>
            </w:r>
          </w:p>
        </w:tc>
        <w:tc>
          <w:tcPr>
            <w:tcW w:w="7339" w:type="dxa"/>
            <w:gridSpan w:val="5"/>
            <w:vAlign w:val="center"/>
          </w:tcPr>
          <w:p>
            <w:pPr>
              <w:rPr>
                <w:rFonts w:hint="default" w:eastAsia="宋体"/>
                <w:color w:val="000000"/>
                <w:szCs w:val="21"/>
                <w:lang w:val="en-US" w:eastAsia="zh-CN"/>
              </w:rPr>
            </w:pPr>
            <w:r>
              <w:rPr>
                <w:rFonts w:hint="eastAsia"/>
                <w:lang w:val="en-US" w:eastAsia="zh-CN"/>
              </w:rPr>
              <w:t>宁波市海曙区古林镇蜃蛟村虞闻桥2号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主要产品名称</w:t>
            </w:r>
          </w:p>
        </w:tc>
        <w:tc>
          <w:tcPr>
            <w:tcW w:w="7339" w:type="dxa"/>
            <w:gridSpan w:val="5"/>
            <w:vAlign w:val="center"/>
          </w:tcPr>
          <w:p>
            <w:pPr>
              <w:rPr>
                <w:rFonts w:hint="default" w:eastAsia="宋体"/>
                <w:color w:val="000000"/>
                <w:szCs w:val="21"/>
                <w:lang w:val="en-US" w:eastAsia="zh-CN"/>
              </w:rPr>
            </w:pPr>
            <w:r>
              <w:rPr>
                <w:rFonts w:hint="eastAsia"/>
                <w:color w:val="000000"/>
                <w:szCs w:val="21"/>
                <w:lang w:val="en-US" w:eastAsia="zh-CN"/>
              </w:rPr>
              <w:t>衣片印花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设计生产能力</w:t>
            </w:r>
          </w:p>
        </w:tc>
        <w:tc>
          <w:tcPr>
            <w:tcW w:w="7339" w:type="dxa"/>
            <w:gridSpan w:val="5"/>
            <w:vAlign w:val="center"/>
          </w:tcPr>
          <w:p>
            <w:pPr>
              <w:rPr>
                <w:rFonts w:hint="default" w:eastAsia="宋体"/>
                <w:color w:val="000000"/>
                <w:szCs w:val="21"/>
                <w:lang w:val="en-US" w:eastAsia="zh-CN"/>
              </w:rPr>
            </w:pPr>
            <w:r>
              <w:rPr>
                <w:rFonts w:hint="eastAsia"/>
                <w:color w:val="000000"/>
                <w:szCs w:val="21"/>
                <w:lang w:val="en-US" w:eastAsia="zh-CN"/>
              </w:rPr>
              <w:t>产能约50万片/年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实际生产能力</w:t>
            </w:r>
          </w:p>
        </w:tc>
        <w:tc>
          <w:tcPr>
            <w:tcW w:w="7339" w:type="dxa"/>
            <w:gridSpan w:val="5"/>
            <w:vAlign w:val="center"/>
          </w:tcPr>
          <w:p>
            <w:pPr>
              <w:rPr>
                <w:rFonts w:hint="default" w:eastAsia="宋体"/>
                <w:color w:val="000000"/>
                <w:szCs w:val="21"/>
                <w:lang w:val="en-US" w:eastAsia="zh-CN"/>
              </w:rPr>
            </w:pPr>
            <w:r>
              <w:rPr>
                <w:rFonts w:hint="eastAsia"/>
                <w:color w:val="000000"/>
                <w:szCs w:val="21"/>
                <w:lang w:val="en-US" w:eastAsia="zh-CN"/>
              </w:rPr>
              <w:t>产能约50万片/年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建设项目环评时间</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2006年4月</w:t>
            </w:r>
          </w:p>
        </w:tc>
        <w:tc>
          <w:tcPr>
            <w:tcW w:w="1984" w:type="dxa"/>
            <w:vAlign w:val="center"/>
          </w:tcPr>
          <w:p>
            <w:pPr>
              <w:rPr>
                <w:color w:val="000000"/>
                <w:szCs w:val="21"/>
              </w:rPr>
            </w:pPr>
            <w:r>
              <w:rPr>
                <w:color w:val="000000"/>
                <w:szCs w:val="21"/>
              </w:rPr>
              <w:t>开工建设时间</w:t>
            </w:r>
          </w:p>
        </w:tc>
        <w:tc>
          <w:tcPr>
            <w:tcW w:w="2803" w:type="dxa"/>
            <w:gridSpan w:val="3"/>
            <w:vAlign w:val="center"/>
          </w:tcPr>
          <w:p>
            <w:pPr>
              <w:rPr>
                <w:rFonts w:hint="default" w:eastAsia="宋体"/>
                <w:color w:val="000000"/>
                <w:szCs w:val="21"/>
                <w:lang w:val="en-US" w:eastAsia="zh-CN"/>
              </w:rPr>
            </w:pPr>
            <w:r>
              <w:rPr>
                <w:rFonts w:hint="eastAsia"/>
                <w:color w:val="000000"/>
                <w:szCs w:val="21"/>
                <w:lang w:val="en-US" w:eastAsia="zh-CN"/>
              </w:rPr>
              <w:t>2006年6月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hint="eastAsia" w:ascii="宋体" w:hAnsi="宋体"/>
                <w:color w:val="000000"/>
                <w:szCs w:val="21"/>
              </w:rPr>
              <w:t>调试</w:t>
            </w:r>
            <w:r>
              <w:rPr>
                <w:rFonts w:ascii="宋体" w:hAnsi="宋体"/>
                <w:color w:val="000000"/>
                <w:szCs w:val="21"/>
              </w:rPr>
              <w:t>时间</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2022年1月</w:t>
            </w:r>
          </w:p>
        </w:tc>
        <w:tc>
          <w:tcPr>
            <w:tcW w:w="1984" w:type="dxa"/>
            <w:vAlign w:val="center"/>
          </w:tcPr>
          <w:p>
            <w:pPr>
              <w:rPr>
                <w:color w:val="000000"/>
                <w:szCs w:val="21"/>
              </w:rPr>
            </w:pPr>
            <w:r>
              <w:rPr>
                <w:color w:val="000000"/>
                <w:szCs w:val="21"/>
              </w:rPr>
              <w:t>验收现场监测时间</w:t>
            </w:r>
          </w:p>
        </w:tc>
        <w:tc>
          <w:tcPr>
            <w:tcW w:w="2803" w:type="dxa"/>
            <w:gridSpan w:val="3"/>
            <w:vAlign w:val="center"/>
          </w:tcPr>
          <w:p>
            <w:pPr>
              <w:rPr>
                <w:rFonts w:hint="default" w:eastAsia="宋体"/>
                <w:color w:val="000000"/>
                <w:szCs w:val="21"/>
                <w:lang w:val="en-US" w:eastAsia="zh-CN"/>
              </w:rPr>
            </w:pPr>
            <w:r>
              <w:rPr>
                <w:rFonts w:hint="eastAsia"/>
                <w:color w:val="000000"/>
                <w:szCs w:val="21"/>
                <w:lang w:val="en-US" w:eastAsia="zh-CN"/>
              </w:rPr>
              <w:t>2022年2月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5" w:type="dxa"/>
            <w:vAlign w:val="center"/>
          </w:tcPr>
          <w:p>
            <w:pPr>
              <w:rPr>
                <w:rFonts w:ascii="宋体" w:hAnsi="宋体"/>
                <w:color w:val="000000"/>
                <w:szCs w:val="21"/>
              </w:rPr>
            </w:pPr>
            <w:r>
              <w:rPr>
                <w:rFonts w:ascii="宋体" w:hAnsi="宋体"/>
                <w:color w:val="000000"/>
                <w:szCs w:val="21"/>
              </w:rPr>
              <w:t>环评报告表</w:t>
            </w:r>
          </w:p>
          <w:p>
            <w:pPr>
              <w:rPr>
                <w:rFonts w:ascii="宋体" w:hAnsi="宋体"/>
                <w:color w:val="000000"/>
                <w:szCs w:val="21"/>
              </w:rPr>
            </w:pPr>
            <w:r>
              <w:rPr>
                <w:rFonts w:ascii="宋体" w:hAnsi="宋体"/>
                <w:color w:val="000000"/>
                <w:szCs w:val="21"/>
              </w:rPr>
              <w:t>审批部门</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宁波市鄞州区环境保护局</w:t>
            </w:r>
          </w:p>
        </w:tc>
        <w:tc>
          <w:tcPr>
            <w:tcW w:w="1984" w:type="dxa"/>
            <w:vAlign w:val="center"/>
          </w:tcPr>
          <w:p>
            <w:pPr>
              <w:rPr>
                <w:color w:val="000000"/>
                <w:szCs w:val="21"/>
              </w:rPr>
            </w:pPr>
            <w:r>
              <w:rPr>
                <w:color w:val="000000"/>
                <w:szCs w:val="21"/>
              </w:rPr>
              <w:t>环评报告表</w:t>
            </w:r>
          </w:p>
          <w:p>
            <w:pPr>
              <w:rPr>
                <w:color w:val="000000"/>
                <w:szCs w:val="21"/>
              </w:rPr>
            </w:pPr>
            <w:r>
              <w:rPr>
                <w:color w:val="000000"/>
                <w:szCs w:val="21"/>
              </w:rPr>
              <w:t>编制单位</w:t>
            </w:r>
          </w:p>
        </w:tc>
        <w:tc>
          <w:tcPr>
            <w:tcW w:w="2803" w:type="dxa"/>
            <w:gridSpan w:val="3"/>
            <w:vAlign w:val="center"/>
          </w:tcPr>
          <w:p>
            <w:pPr>
              <w:rPr>
                <w:rFonts w:hint="default" w:eastAsia="宋体"/>
                <w:color w:val="000000"/>
                <w:szCs w:val="21"/>
                <w:lang w:val="en-US" w:eastAsia="zh-CN"/>
              </w:rPr>
            </w:pPr>
            <w:r>
              <w:rPr>
                <w:rFonts w:hint="eastAsia"/>
                <w:color w:val="000000"/>
                <w:szCs w:val="21"/>
                <w:lang w:val="en-US" w:eastAsia="zh-CN"/>
              </w:rPr>
              <w:t>宁波市鄞州兴达环保工程有限公司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环保设施设计单位</w:t>
            </w:r>
          </w:p>
        </w:tc>
        <w:tc>
          <w:tcPr>
            <w:tcW w:w="2552" w:type="dxa"/>
            <w:vAlign w:val="center"/>
          </w:tcPr>
          <w:p>
            <w:pPr>
              <w:rPr>
                <w:rFonts w:hint="default"/>
                <w:color w:val="000000"/>
                <w:szCs w:val="21"/>
                <w:lang w:val="en-US"/>
              </w:rPr>
            </w:pPr>
            <w:r>
              <w:rPr>
                <w:rFonts w:hint="eastAsia"/>
                <w:lang w:val="en-US" w:eastAsia="zh-CN"/>
              </w:rPr>
              <w:t>宁波市海曙古林宏通印花厂（普通合伙）</w:t>
            </w:r>
          </w:p>
        </w:tc>
        <w:tc>
          <w:tcPr>
            <w:tcW w:w="1984" w:type="dxa"/>
            <w:vAlign w:val="center"/>
          </w:tcPr>
          <w:p>
            <w:pPr>
              <w:rPr>
                <w:color w:val="000000"/>
                <w:szCs w:val="21"/>
              </w:rPr>
            </w:pPr>
            <w:r>
              <w:rPr>
                <w:color w:val="000000"/>
                <w:szCs w:val="21"/>
              </w:rPr>
              <w:t>环保设施施工单位</w:t>
            </w:r>
          </w:p>
        </w:tc>
        <w:tc>
          <w:tcPr>
            <w:tcW w:w="2803" w:type="dxa"/>
            <w:gridSpan w:val="3"/>
            <w:vAlign w:val="center"/>
          </w:tcPr>
          <w:p>
            <w:pPr>
              <w:rPr>
                <w:rFonts w:hint="default" w:eastAsia="宋体"/>
                <w:color w:val="000000"/>
                <w:szCs w:val="21"/>
                <w:lang w:val="en-US" w:eastAsia="zh-CN"/>
              </w:rPr>
            </w:pPr>
            <w:r>
              <w:rPr>
                <w:rFonts w:hint="eastAsia"/>
                <w:lang w:val="en-US" w:eastAsia="zh-CN"/>
              </w:rPr>
              <w:t>宁波市海曙古林宏通印花厂（普通合伙）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投资总概算</w:t>
            </w:r>
            <w:r>
              <w:rPr>
                <w:rFonts w:hint="eastAsia" w:ascii="宋体" w:hAnsi="宋体"/>
                <w:color w:val="000000"/>
                <w:szCs w:val="21"/>
              </w:rPr>
              <w:t>（万元）</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15</w:t>
            </w:r>
          </w:p>
        </w:tc>
        <w:tc>
          <w:tcPr>
            <w:tcW w:w="1984" w:type="dxa"/>
            <w:vAlign w:val="center"/>
          </w:tcPr>
          <w:p>
            <w:pPr>
              <w:rPr>
                <w:color w:val="000000"/>
                <w:szCs w:val="21"/>
              </w:rPr>
            </w:pPr>
            <w:r>
              <w:rPr>
                <w:color w:val="000000"/>
                <w:szCs w:val="21"/>
              </w:rPr>
              <w:t>环保投资总概算</w:t>
            </w:r>
            <w:r>
              <w:rPr>
                <w:rFonts w:hint="eastAsia" w:ascii="宋体" w:hAnsi="宋体"/>
                <w:color w:val="000000"/>
                <w:szCs w:val="21"/>
              </w:rPr>
              <w:t>（万元）</w:t>
            </w:r>
          </w:p>
        </w:tc>
        <w:tc>
          <w:tcPr>
            <w:tcW w:w="1003" w:type="dxa"/>
            <w:vAlign w:val="center"/>
          </w:tcPr>
          <w:p>
            <w:pPr>
              <w:rPr>
                <w:rFonts w:hint="default" w:eastAsia="宋体"/>
                <w:color w:val="000000"/>
                <w:szCs w:val="21"/>
                <w:lang w:val="en-US" w:eastAsia="zh-CN"/>
              </w:rPr>
            </w:pPr>
            <w:r>
              <w:rPr>
                <w:rFonts w:hint="eastAsia"/>
                <w:color w:val="000000"/>
                <w:szCs w:val="21"/>
                <w:lang w:val="en-US" w:eastAsia="zh-CN"/>
              </w:rPr>
              <w:t>3</w:t>
            </w:r>
          </w:p>
        </w:tc>
        <w:tc>
          <w:tcPr>
            <w:tcW w:w="765" w:type="dxa"/>
            <w:vAlign w:val="center"/>
          </w:tcPr>
          <w:p>
            <w:pPr>
              <w:rPr>
                <w:color w:val="000000"/>
                <w:szCs w:val="21"/>
              </w:rPr>
            </w:pPr>
            <w:r>
              <w:rPr>
                <w:color w:val="000000"/>
                <w:szCs w:val="21"/>
              </w:rPr>
              <w:t>比例</w:t>
            </w:r>
          </w:p>
        </w:tc>
        <w:tc>
          <w:tcPr>
            <w:tcW w:w="1035" w:type="dxa"/>
            <w:vAlign w:val="center"/>
          </w:tcPr>
          <w:p>
            <w:pPr>
              <w:rPr>
                <w:rFonts w:hint="default" w:eastAsia="宋体"/>
                <w:color w:val="000000"/>
                <w:szCs w:val="21"/>
                <w:lang w:val="en-US" w:eastAsia="zh-CN"/>
              </w:rPr>
            </w:pPr>
            <w:r>
              <w:rPr>
                <w:rFonts w:hint="eastAsia"/>
                <w:color w:val="000000"/>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实际总概算</w:t>
            </w:r>
            <w:r>
              <w:rPr>
                <w:rFonts w:hint="eastAsia" w:ascii="宋体" w:hAnsi="宋体"/>
                <w:color w:val="000000"/>
                <w:szCs w:val="21"/>
              </w:rPr>
              <w:t>（万元）</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15</w:t>
            </w:r>
          </w:p>
        </w:tc>
        <w:tc>
          <w:tcPr>
            <w:tcW w:w="1984" w:type="dxa"/>
            <w:vAlign w:val="center"/>
          </w:tcPr>
          <w:p>
            <w:pPr>
              <w:rPr>
                <w:color w:val="000000"/>
                <w:szCs w:val="21"/>
              </w:rPr>
            </w:pPr>
            <w:r>
              <w:rPr>
                <w:color w:val="000000"/>
                <w:szCs w:val="21"/>
              </w:rPr>
              <w:t>环保投资</w:t>
            </w:r>
            <w:r>
              <w:rPr>
                <w:rFonts w:hint="eastAsia" w:ascii="宋体" w:hAnsi="宋体"/>
                <w:color w:val="000000"/>
                <w:szCs w:val="21"/>
              </w:rPr>
              <w:t>（万元）</w:t>
            </w:r>
          </w:p>
        </w:tc>
        <w:tc>
          <w:tcPr>
            <w:tcW w:w="1003" w:type="dxa"/>
            <w:vAlign w:val="center"/>
          </w:tcPr>
          <w:p>
            <w:pPr>
              <w:rPr>
                <w:rFonts w:hint="default" w:eastAsia="宋体"/>
                <w:color w:val="000000"/>
                <w:szCs w:val="21"/>
                <w:lang w:val="en-US" w:eastAsia="zh-CN"/>
              </w:rPr>
            </w:pPr>
            <w:r>
              <w:rPr>
                <w:rFonts w:hint="eastAsia"/>
                <w:color w:val="000000"/>
                <w:szCs w:val="21"/>
                <w:lang w:val="en-US" w:eastAsia="zh-CN"/>
              </w:rPr>
              <w:t>3</w:t>
            </w:r>
          </w:p>
        </w:tc>
        <w:tc>
          <w:tcPr>
            <w:tcW w:w="765" w:type="dxa"/>
            <w:vAlign w:val="center"/>
          </w:tcPr>
          <w:p>
            <w:pPr>
              <w:rPr>
                <w:color w:val="000000"/>
                <w:szCs w:val="21"/>
              </w:rPr>
            </w:pPr>
            <w:r>
              <w:rPr>
                <w:color w:val="000000"/>
                <w:szCs w:val="21"/>
              </w:rPr>
              <w:t>比例</w:t>
            </w:r>
          </w:p>
        </w:tc>
        <w:tc>
          <w:tcPr>
            <w:tcW w:w="1035" w:type="dxa"/>
            <w:vAlign w:val="center"/>
          </w:tcPr>
          <w:p>
            <w:pPr>
              <w:rPr>
                <w:color w:val="000000"/>
                <w:szCs w:val="21"/>
              </w:rPr>
            </w:pPr>
            <w:r>
              <w:rPr>
                <w:rFonts w:hint="eastAsia"/>
                <w:color w:val="000000"/>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585" w:type="dxa"/>
            <w:vAlign w:val="center"/>
          </w:tcPr>
          <w:p>
            <w:pPr>
              <w:rPr>
                <w:rFonts w:ascii="宋体" w:hAnsi="宋体"/>
                <w:color w:val="000000"/>
                <w:szCs w:val="21"/>
              </w:rPr>
            </w:pPr>
            <w:r>
              <w:rPr>
                <w:rFonts w:ascii="宋体" w:hAnsi="宋体"/>
                <w:color w:val="000000"/>
                <w:szCs w:val="21"/>
              </w:rPr>
              <w:t>验收监测依据</w:t>
            </w:r>
          </w:p>
        </w:tc>
        <w:tc>
          <w:tcPr>
            <w:tcW w:w="7339" w:type="dxa"/>
            <w:gridSpan w:val="5"/>
            <w:vAlign w:val="center"/>
          </w:tcPr>
          <w:p>
            <w:pPr>
              <w:pStyle w:val="5"/>
            </w:pPr>
            <w:bookmarkStart w:id="4" w:name="_Toc12418"/>
            <w:bookmarkStart w:id="5" w:name="_Toc30214"/>
            <w:r>
              <w:rPr>
                <w:rFonts w:hint="eastAsia"/>
              </w:rPr>
              <w:t>建设项目环境保护相关法律、法规、规章和规范</w:t>
            </w:r>
            <w:bookmarkEnd w:id="4"/>
            <w:bookmarkEnd w:id="5"/>
          </w:p>
          <w:p>
            <w:pPr>
              <w:pStyle w:val="4"/>
            </w:pPr>
            <w:r>
              <w:t>1）《中华人民共和国环境保护法》（2015.1.1）；</w:t>
            </w:r>
          </w:p>
          <w:p>
            <w:pPr>
              <w:pStyle w:val="4"/>
            </w:pPr>
            <w:r>
              <w:t>2）《中华人民共和国水污染防治法》（2018.1.1）；</w:t>
            </w:r>
          </w:p>
          <w:p>
            <w:pPr>
              <w:pStyle w:val="4"/>
            </w:pPr>
            <w:r>
              <w:t>3）《中华人民共和国大气污染防治法》（2018.10）；</w:t>
            </w:r>
          </w:p>
          <w:p>
            <w:pPr>
              <w:pStyle w:val="4"/>
            </w:pPr>
            <w:r>
              <w:t>4）《中华人民共和国环境噪声污染防治法》（2018.12.29）；</w:t>
            </w:r>
          </w:p>
          <w:p>
            <w:pPr>
              <w:pStyle w:val="4"/>
            </w:pPr>
            <w:r>
              <w:t>5）《中华人民共和国固体废物污染环境防治法》（20</w:t>
            </w:r>
            <w:r>
              <w:rPr>
                <w:rFonts w:hint="eastAsia"/>
                <w:lang w:val="en-US" w:eastAsia="zh-CN"/>
              </w:rPr>
              <w:t>20</w:t>
            </w:r>
            <w:r>
              <w:t>.</w:t>
            </w:r>
            <w:r>
              <w:rPr>
                <w:rFonts w:hint="eastAsia"/>
                <w:lang w:val="en-US" w:eastAsia="zh-CN"/>
              </w:rPr>
              <w:t>9.1</w:t>
            </w:r>
            <w:r>
              <w:t>）；</w:t>
            </w:r>
          </w:p>
          <w:p>
            <w:pPr>
              <w:pStyle w:val="4"/>
            </w:pPr>
            <w:r>
              <w:t>6）《中华人民共和国水土保持法》（2011.3.1）；</w:t>
            </w:r>
          </w:p>
          <w:p>
            <w:pPr>
              <w:pStyle w:val="4"/>
            </w:pPr>
            <w:r>
              <w:t>7）《建设项目环境保护管理条例》〔国务院令第682号〕</w:t>
            </w:r>
            <w:r>
              <w:rPr>
                <w:rFonts w:hint="eastAsia"/>
              </w:rPr>
              <w:t>（</w:t>
            </w:r>
            <w:r>
              <w:t>2017.10.1</w:t>
            </w:r>
            <w:r>
              <w:rPr>
                <w:rFonts w:hint="eastAsia"/>
              </w:rPr>
              <w:t>）。</w:t>
            </w:r>
          </w:p>
          <w:p>
            <w:pPr>
              <w:pStyle w:val="5"/>
            </w:pPr>
            <w:bookmarkStart w:id="6" w:name="_Toc14278"/>
            <w:bookmarkStart w:id="7" w:name="_Toc11749"/>
            <w:r>
              <w:rPr>
                <w:rFonts w:hint="eastAsia"/>
              </w:rPr>
              <w:t>建设项目竣工环境保护验收技术规范</w:t>
            </w:r>
            <w:bookmarkEnd w:id="6"/>
            <w:bookmarkEnd w:id="7"/>
          </w:p>
          <w:p>
            <w:pPr>
              <w:pStyle w:val="4"/>
            </w:pPr>
            <w:r>
              <w:t>1）《建设项目竣工环境保护验收暂行办法》（国环规环评〔2017〕4号）；</w:t>
            </w:r>
          </w:p>
          <w:p>
            <w:pPr>
              <w:pStyle w:val="4"/>
            </w:pPr>
            <w:r>
              <w:t>2）关于发布《建设项目竣工环境保护验收技术指南 污染影响类》的公告（公告〔2018〕9号）；</w:t>
            </w:r>
          </w:p>
          <w:p>
            <w:pPr>
              <w:pStyle w:val="4"/>
            </w:pPr>
            <w:r>
              <w:t>3）《关于印发建设项目竣工环境保护验收现场检查及审查要点的通知》（环办〔2015〕113号）。</w:t>
            </w:r>
          </w:p>
          <w:p>
            <w:pPr>
              <w:pStyle w:val="5"/>
            </w:pPr>
            <w:bookmarkStart w:id="8" w:name="_Toc20670"/>
            <w:bookmarkStart w:id="9" w:name="_Toc23024"/>
            <w:r>
              <w:rPr>
                <w:rFonts w:hint="eastAsia"/>
              </w:rPr>
              <w:t>建设项目环境影响报告书（表）及审批部门审批决定</w:t>
            </w:r>
            <w:bookmarkEnd w:id="8"/>
            <w:bookmarkEnd w:id="9"/>
          </w:p>
          <w:p>
            <w:pPr>
              <w:pStyle w:val="4"/>
            </w:pPr>
            <w:r>
              <w:t>1）《</w:t>
            </w:r>
            <w:r>
              <w:rPr>
                <w:rFonts w:hint="eastAsia"/>
                <w:lang w:val="en-US" w:eastAsia="zh-CN"/>
              </w:rPr>
              <w:t>年印50万衣片印花（水性及油性）项目环境</w:t>
            </w:r>
            <w:r>
              <w:t>影响报告表》，</w:t>
            </w:r>
            <w:r>
              <w:rPr>
                <w:rFonts w:hint="eastAsia"/>
              </w:rPr>
              <w:t>（</w:t>
            </w:r>
            <w:r>
              <w:rPr>
                <w:rFonts w:hint="eastAsia"/>
                <w:color w:val="000000"/>
                <w:szCs w:val="21"/>
                <w:lang w:val="en-US" w:eastAsia="zh-CN"/>
              </w:rPr>
              <w:t>宁波市鄞州兴达环保工程有限公司</w:t>
            </w:r>
            <w:r>
              <w:rPr>
                <w:rFonts w:hint="eastAsia"/>
                <w:lang w:val="en-US" w:eastAsia="zh-CN"/>
              </w:rPr>
              <w:t>，2006.4.29</w:t>
            </w:r>
            <w:r>
              <w:rPr>
                <w:rFonts w:hint="eastAsia"/>
              </w:rPr>
              <w:t>）</w:t>
            </w:r>
            <w:r>
              <w:t>；</w:t>
            </w:r>
          </w:p>
          <w:p>
            <w:pPr>
              <w:pStyle w:val="4"/>
              <w:rPr>
                <w:color w:val="auto"/>
              </w:rPr>
            </w:pPr>
            <w:r>
              <w:rPr>
                <w:color w:val="auto"/>
              </w:rPr>
              <w:t>2）《</w:t>
            </w:r>
            <w:r>
              <w:rPr>
                <w:rFonts w:hint="eastAsia"/>
                <w:color w:val="auto"/>
                <w:lang w:val="en-US" w:eastAsia="zh-CN"/>
              </w:rPr>
              <w:t>环保部门审批意见</w:t>
            </w:r>
            <w:r>
              <w:rPr>
                <w:color w:val="auto"/>
              </w:rPr>
              <w:t>》（</w:t>
            </w:r>
            <w:r>
              <w:rPr>
                <w:rFonts w:hint="eastAsia" w:ascii="宋体" w:hAnsi="宋体"/>
                <w:bCs/>
                <w:color w:val="auto"/>
                <w:szCs w:val="21"/>
                <w:lang w:val="en-US" w:eastAsia="zh-CN"/>
              </w:rPr>
              <w:t>2006.6.8</w:t>
            </w:r>
            <w:r>
              <w:rPr>
                <w:color w:val="auto"/>
              </w:rPr>
              <w:t>）</w:t>
            </w:r>
            <w:r>
              <w:rPr>
                <w:rFonts w:hint="eastAsia"/>
                <w:color w:val="auto"/>
              </w:rPr>
              <w:t>；</w:t>
            </w:r>
          </w:p>
          <w:p>
            <w:pPr>
              <w:pStyle w:val="4"/>
              <w:rPr>
                <w:rFonts w:ascii="宋体"/>
                <w:sz w:val="21"/>
                <w:szCs w:val="21"/>
              </w:rPr>
            </w:pPr>
            <w:r>
              <w:t>3）其他有关项目情况等资料。其他有关项目情况等资料。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1585" w:type="dxa"/>
            <w:vAlign w:val="center"/>
          </w:tcPr>
          <w:p>
            <w:pPr>
              <w:rPr>
                <w:rFonts w:ascii="宋体" w:hAnsi="宋体"/>
                <w:color w:val="000000"/>
                <w:szCs w:val="21"/>
              </w:rPr>
            </w:pPr>
            <w:r>
              <w:rPr>
                <w:rFonts w:ascii="宋体" w:hAnsi="宋体"/>
                <w:color w:val="000000"/>
                <w:szCs w:val="21"/>
              </w:rPr>
              <w:t>验收监测评价标准、标号、级别、限值</w:t>
            </w:r>
          </w:p>
        </w:tc>
        <w:tc>
          <w:tcPr>
            <w:tcW w:w="7339" w:type="dxa"/>
            <w:gridSpan w:val="5"/>
            <w:vAlign w:val="center"/>
          </w:tcPr>
          <w:p>
            <w:pPr>
              <w:pStyle w:val="5"/>
            </w:pPr>
            <w:bookmarkStart w:id="10" w:name="_Toc20478"/>
            <w:bookmarkStart w:id="11" w:name="_Toc508447101"/>
            <w:bookmarkStart w:id="12" w:name="_Toc29448"/>
            <w:r>
              <w:t>废气污染物排放标准</w:t>
            </w:r>
            <w:bookmarkEnd w:id="10"/>
            <w:bookmarkEnd w:id="11"/>
            <w:bookmarkEnd w:id="12"/>
          </w:p>
          <w:p>
            <w:pPr>
              <w:spacing w:line="360" w:lineRule="auto"/>
              <w:ind w:firstLine="480" w:firstLineChars="200"/>
              <w:rPr>
                <w:color w:val="auto"/>
                <w:sz w:val="24"/>
              </w:rPr>
            </w:pPr>
            <w:r>
              <w:rPr>
                <w:rFonts w:hint="eastAsia"/>
                <w:color w:val="auto"/>
                <w:sz w:val="24"/>
                <w:lang w:eastAsia="zh-CN"/>
              </w:rPr>
              <w:t>废气执行</w:t>
            </w:r>
            <w:r>
              <w:rPr>
                <w:rFonts w:hint="eastAsia"/>
                <w:color w:val="auto"/>
                <w:sz w:val="24"/>
                <w:lang w:val="en-US" w:eastAsia="zh-CN"/>
              </w:rPr>
              <w:t>GB16297-1996《大气污染物综合排放标准》中二类区标准</w:t>
            </w:r>
            <w:r>
              <w:rPr>
                <w:rFonts w:hint="eastAsia"/>
                <w:color w:val="auto"/>
                <w:sz w:val="24"/>
              </w:rPr>
              <w:t>，具体数值见表</w:t>
            </w:r>
            <w:r>
              <w:rPr>
                <w:color w:val="auto"/>
                <w:sz w:val="24"/>
              </w:rPr>
              <w:t>1</w:t>
            </w:r>
            <w:r>
              <w:rPr>
                <w:rFonts w:hint="eastAsia"/>
                <w:color w:val="auto"/>
                <w:sz w:val="24"/>
                <w:lang w:val="en-US" w:eastAsia="zh-CN"/>
              </w:rPr>
              <w:t>.4</w:t>
            </w:r>
            <w:r>
              <w:rPr>
                <w:color w:val="auto"/>
                <w:sz w:val="24"/>
              </w:rPr>
              <w:t>-1</w:t>
            </w:r>
            <w:r>
              <w:rPr>
                <w:rFonts w:hint="eastAsia"/>
                <w:color w:val="auto"/>
                <w:sz w:val="24"/>
              </w:rPr>
              <w:t>。</w:t>
            </w:r>
          </w:p>
          <w:p>
            <w:pPr>
              <w:adjustRightInd w:val="0"/>
              <w:snapToGrid w:val="0"/>
              <w:spacing w:line="360" w:lineRule="auto"/>
              <w:ind w:left="42" w:leftChars="20" w:right="42" w:rightChars="20"/>
              <w:jc w:val="center"/>
              <w:rPr>
                <w:b/>
                <w:bCs/>
                <w:color w:val="auto"/>
                <w:sz w:val="24"/>
              </w:rPr>
            </w:pPr>
            <w:r>
              <w:rPr>
                <w:rFonts w:hint="eastAsia"/>
                <w:b/>
                <w:color w:val="auto"/>
                <w:sz w:val="24"/>
              </w:rPr>
              <w:t>表</w:t>
            </w:r>
            <w:r>
              <w:rPr>
                <w:b/>
                <w:color w:val="auto"/>
                <w:sz w:val="24"/>
              </w:rPr>
              <w:t>1</w:t>
            </w:r>
            <w:r>
              <w:rPr>
                <w:rFonts w:hint="eastAsia"/>
                <w:b/>
                <w:color w:val="auto"/>
                <w:sz w:val="24"/>
                <w:lang w:val="en-US" w:eastAsia="zh-CN"/>
              </w:rPr>
              <w:t>.4</w:t>
            </w:r>
            <w:r>
              <w:rPr>
                <w:b/>
                <w:color w:val="auto"/>
                <w:sz w:val="24"/>
              </w:rPr>
              <w:t xml:space="preserve">-1 </w:t>
            </w:r>
            <w:r>
              <w:rPr>
                <w:rFonts w:hint="eastAsia"/>
                <w:b/>
                <w:bCs/>
                <w:color w:val="auto"/>
                <w:sz w:val="24"/>
              </w:rPr>
              <w:t>废气污染物排放标准</w:t>
            </w:r>
          </w:p>
          <w:tbl>
            <w:tblPr>
              <w:tblStyle w:val="37"/>
              <w:tblW w:w="61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576"/>
              <w:gridCol w:w="1576"/>
              <w:gridCol w:w="1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4" w:type="dxa"/>
                  <w:tcMar>
                    <w:left w:w="28" w:type="dxa"/>
                    <w:right w:w="28" w:type="dxa"/>
                  </w:tcMar>
                  <w:vAlign w:val="center"/>
                </w:tcPr>
                <w:p>
                  <w:pPr>
                    <w:pStyle w:val="59"/>
                    <w:rPr>
                      <w:rFonts w:hint="default" w:eastAsia="宋体"/>
                      <w:color w:val="auto"/>
                      <w:highlight w:val="none"/>
                      <w:lang w:val="en-US" w:eastAsia="zh-CN"/>
                    </w:rPr>
                  </w:pPr>
                  <w:r>
                    <w:rPr>
                      <w:rFonts w:hint="eastAsia"/>
                      <w:color w:val="auto"/>
                      <w:highlight w:val="none"/>
                      <w:lang w:val="en-US" w:eastAsia="zh-CN"/>
                    </w:rPr>
                    <w:t>污染物</w:t>
                  </w:r>
                </w:p>
              </w:tc>
              <w:tc>
                <w:tcPr>
                  <w:tcW w:w="1576" w:type="dxa"/>
                  <w:tcMar>
                    <w:left w:w="28" w:type="dxa"/>
                    <w:right w:w="28" w:type="dxa"/>
                  </w:tcMar>
                  <w:vAlign w:val="center"/>
                </w:tcPr>
                <w:p>
                  <w:pPr>
                    <w:pStyle w:val="59"/>
                    <w:rPr>
                      <w:rFonts w:hint="default" w:eastAsia="宋体"/>
                      <w:color w:val="auto"/>
                      <w:lang w:val="en-US" w:eastAsia="zh-CN"/>
                    </w:rPr>
                  </w:pPr>
                  <w:r>
                    <w:rPr>
                      <w:rFonts w:hint="eastAsia"/>
                      <w:color w:val="auto"/>
                      <w:lang w:val="en-US" w:eastAsia="zh-CN"/>
                    </w:rPr>
                    <w:t>最高允许排放浓度（mg/m</w:t>
                  </w:r>
                  <w:r>
                    <w:rPr>
                      <w:rFonts w:hint="eastAsia"/>
                      <w:color w:val="auto"/>
                      <w:vertAlign w:val="superscript"/>
                      <w:lang w:val="en-US" w:eastAsia="zh-CN"/>
                    </w:rPr>
                    <w:t>3</w:t>
                  </w:r>
                  <w:r>
                    <w:rPr>
                      <w:rFonts w:hint="eastAsia"/>
                      <w:color w:val="auto"/>
                      <w:lang w:val="en-US" w:eastAsia="zh-CN"/>
                    </w:rPr>
                    <w:t>）</w:t>
                  </w:r>
                </w:p>
              </w:tc>
              <w:tc>
                <w:tcPr>
                  <w:tcW w:w="1576" w:type="dxa"/>
                  <w:tcMar>
                    <w:left w:w="28" w:type="dxa"/>
                    <w:right w:w="28" w:type="dxa"/>
                  </w:tcMar>
                  <w:vAlign w:val="center"/>
                </w:tcPr>
                <w:p>
                  <w:pPr>
                    <w:pStyle w:val="59"/>
                    <w:rPr>
                      <w:rFonts w:hint="default"/>
                      <w:color w:val="auto"/>
                      <w:lang w:val="en-US" w:eastAsia="zh-CN"/>
                    </w:rPr>
                  </w:pPr>
                  <w:r>
                    <w:rPr>
                      <w:rFonts w:hint="eastAsia"/>
                      <w:color w:val="auto"/>
                      <w:lang w:val="en-US" w:eastAsia="zh-CN"/>
                    </w:rPr>
                    <w:t>排气筒高度（m）</w:t>
                  </w:r>
                </w:p>
              </w:tc>
              <w:tc>
                <w:tcPr>
                  <w:tcW w:w="1576" w:type="dxa"/>
                  <w:tcMar>
                    <w:left w:w="28" w:type="dxa"/>
                    <w:right w:w="28" w:type="dxa"/>
                  </w:tcMar>
                  <w:vAlign w:val="center"/>
                </w:tcPr>
                <w:p>
                  <w:pPr>
                    <w:pStyle w:val="59"/>
                    <w:rPr>
                      <w:rFonts w:hint="default"/>
                      <w:color w:val="auto"/>
                      <w:lang w:val="en-US" w:eastAsia="zh-CN"/>
                    </w:rPr>
                  </w:pPr>
                  <w:r>
                    <w:rPr>
                      <w:rFonts w:hint="eastAsia"/>
                      <w:color w:val="auto"/>
                      <w:lang w:val="en-US" w:eastAsia="zh-CN"/>
                    </w:rPr>
                    <w:t>最高允许排放速率（Kg/h）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4" w:type="dxa"/>
                  <w:tcMar>
                    <w:left w:w="28" w:type="dxa"/>
                    <w:right w:w="28" w:type="dxa"/>
                  </w:tcMar>
                  <w:vAlign w:val="center"/>
                </w:tcPr>
                <w:p>
                  <w:pPr>
                    <w:pStyle w:val="59"/>
                    <w:rPr>
                      <w:rFonts w:hint="default" w:eastAsia="宋体"/>
                      <w:color w:val="auto"/>
                      <w:highlight w:val="none"/>
                      <w:lang w:val="en-US" w:eastAsia="zh-CN"/>
                    </w:rPr>
                  </w:pPr>
                  <w:r>
                    <w:rPr>
                      <w:rFonts w:hint="eastAsia"/>
                      <w:color w:val="auto"/>
                      <w:highlight w:val="none"/>
                      <w:lang w:val="en-US" w:eastAsia="zh-CN"/>
                    </w:rPr>
                    <w:t>非甲烷总烃</w:t>
                  </w:r>
                </w:p>
              </w:tc>
              <w:tc>
                <w:tcPr>
                  <w:tcW w:w="1576" w:type="dxa"/>
                  <w:tcMar>
                    <w:left w:w="28" w:type="dxa"/>
                    <w:right w:w="28" w:type="dxa"/>
                  </w:tcMar>
                  <w:vAlign w:val="center"/>
                </w:tcPr>
                <w:p>
                  <w:pPr>
                    <w:pStyle w:val="59"/>
                    <w:rPr>
                      <w:rFonts w:hint="default" w:eastAsia="宋体"/>
                      <w:color w:val="auto"/>
                      <w:lang w:val="en-US" w:eastAsia="zh-CN"/>
                    </w:rPr>
                  </w:pPr>
                  <w:r>
                    <w:rPr>
                      <w:rFonts w:hint="eastAsia"/>
                      <w:color w:val="auto"/>
                      <w:lang w:val="en-US" w:eastAsia="zh-CN"/>
                    </w:rPr>
                    <w:t>120</w:t>
                  </w:r>
                </w:p>
              </w:tc>
              <w:tc>
                <w:tcPr>
                  <w:tcW w:w="1576" w:type="dxa"/>
                  <w:tcMar>
                    <w:left w:w="28" w:type="dxa"/>
                    <w:right w:w="28" w:type="dxa"/>
                  </w:tcMar>
                  <w:vAlign w:val="center"/>
                </w:tcPr>
                <w:p>
                  <w:pPr>
                    <w:pStyle w:val="59"/>
                    <w:rPr>
                      <w:rFonts w:hint="default"/>
                      <w:color w:val="auto"/>
                      <w:lang w:val="en-US" w:eastAsia="zh-CN"/>
                    </w:rPr>
                  </w:pPr>
                  <w:r>
                    <w:rPr>
                      <w:rFonts w:hint="eastAsia"/>
                      <w:color w:val="auto"/>
                      <w:lang w:val="en-US" w:eastAsia="zh-CN"/>
                    </w:rPr>
                    <w:t>15</w:t>
                  </w:r>
                </w:p>
              </w:tc>
              <w:tc>
                <w:tcPr>
                  <w:tcW w:w="1576" w:type="dxa"/>
                  <w:tcMar>
                    <w:left w:w="28" w:type="dxa"/>
                    <w:right w:w="28" w:type="dxa"/>
                  </w:tcMar>
                  <w:vAlign w:val="center"/>
                </w:tcPr>
                <w:p>
                  <w:pPr>
                    <w:pStyle w:val="59"/>
                    <w:rPr>
                      <w:rFonts w:hint="default"/>
                      <w:color w:val="auto"/>
                      <w:lang w:val="en-US" w:eastAsia="zh-CN"/>
                    </w:rPr>
                  </w:pPr>
                  <w:r>
                    <w:rPr>
                      <w:rFonts w:hint="eastAsia"/>
                      <w:color w:val="auto"/>
                      <w:lang w:val="en-US" w:eastAsia="zh-CN"/>
                    </w:rPr>
                    <w:t>10</w:t>
                  </w:r>
                </w:p>
              </w:tc>
            </w:tr>
          </w:tbl>
          <w:p>
            <w:pPr>
              <w:pStyle w:val="5"/>
            </w:pPr>
            <w:bookmarkStart w:id="13" w:name="_Toc12407"/>
            <w:bookmarkStart w:id="14" w:name="_Toc18314"/>
            <w:r>
              <w:rPr>
                <w:rFonts w:hint="eastAsia"/>
              </w:rPr>
              <w:t>废水</w:t>
            </w:r>
            <w:r>
              <w:t>排放标准</w:t>
            </w:r>
            <w:bookmarkEnd w:id="13"/>
            <w:bookmarkEnd w:id="14"/>
          </w:p>
          <w:p>
            <w:pPr>
              <w:spacing w:line="360" w:lineRule="auto"/>
              <w:ind w:firstLine="480" w:firstLineChars="200"/>
              <w:rPr>
                <w:rFonts w:hint="eastAsia"/>
                <w:b/>
                <w:sz w:val="24"/>
              </w:rPr>
            </w:pPr>
            <w:r>
              <w:rPr>
                <w:rFonts w:hint="eastAsia" w:ascii="宋体" w:hAnsi="宋体" w:cs="宋体"/>
                <w:sz w:val="24"/>
                <w:highlight w:val="none"/>
                <w:lang w:eastAsia="zh-CN"/>
              </w:rPr>
              <w:t>废水执行</w:t>
            </w:r>
            <w:r>
              <w:rPr>
                <w:rFonts w:hint="eastAsia" w:ascii="宋体" w:hAnsi="宋体" w:cs="宋体"/>
                <w:sz w:val="24"/>
                <w:highlight w:val="none"/>
                <w:lang w:val="en-US" w:eastAsia="zh-CN"/>
              </w:rPr>
              <w:t>GB8978-1996《污水综合排放标准》中一级排放标准</w:t>
            </w:r>
            <w:r>
              <w:rPr>
                <w:rFonts w:hint="eastAsia" w:ascii="宋体" w:hAnsi="宋体" w:eastAsia="宋体" w:cs="宋体"/>
                <w:sz w:val="24"/>
                <w:highlight w:val="none"/>
              </w:rPr>
              <w:t>。具体标准见表1</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5</w:t>
            </w:r>
            <w:r>
              <w:rPr>
                <w:rFonts w:hint="eastAsia" w:ascii="宋体" w:hAnsi="宋体" w:eastAsia="宋体" w:cs="宋体"/>
                <w:sz w:val="24"/>
                <w:highlight w:val="none"/>
              </w:rPr>
              <w:t>-</w:t>
            </w:r>
            <w:r>
              <w:rPr>
                <w:rFonts w:hint="eastAsia" w:ascii="宋体" w:hAnsi="宋体" w:cs="宋体"/>
                <w:sz w:val="24"/>
                <w:highlight w:val="none"/>
                <w:lang w:val="en-US" w:eastAsia="zh-CN"/>
              </w:rPr>
              <w:t>1</w:t>
            </w:r>
            <w:r>
              <w:rPr>
                <w:rFonts w:hint="eastAsia" w:ascii="宋体" w:hAnsi="宋体" w:eastAsia="宋体" w:cs="宋体"/>
                <w:sz w:val="24"/>
                <w:highlight w:val="none"/>
              </w:rPr>
              <w:t>。</w:t>
            </w:r>
          </w:p>
          <w:p>
            <w:pPr>
              <w:adjustRightInd w:val="0"/>
              <w:snapToGrid w:val="0"/>
              <w:spacing w:line="360" w:lineRule="auto"/>
              <w:ind w:left="42" w:leftChars="20" w:right="42" w:rightChars="20"/>
              <w:jc w:val="center"/>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rPr>
              <w:t>表1</w:t>
            </w:r>
            <w:r>
              <w:rPr>
                <w:rFonts w:hint="eastAsia" w:asciiTheme="majorEastAsia" w:hAnsiTheme="majorEastAsia" w:eastAsiaTheme="majorEastAsia" w:cstheme="majorEastAsia"/>
                <w:b/>
                <w:sz w:val="24"/>
                <w:lang w:val="en-US" w:eastAsia="zh-CN"/>
              </w:rPr>
              <w:t>.5</w:t>
            </w:r>
            <w:r>
              <w:rPr>
                <w:rFonts w:hint="eastAsia" w:asciiTheme="majorEastAsia" w:hAnsiTheme="majorEastAsia" w:eastAsiaTheme="majorEastAsia" w:cstheme="majorEastAsia"/>
                <w:b/>
                <w:sz w:val="24"/>
              </w:rPr>
              <w:t>-</w:t>
            </w:r>
            <w:r>
              <w:rPr>
                <w:rFonts w:hint="eastAsia" w:asciiTheme="majorEastAsia" w:hAnsiTheme="majorEastAsia" w:eastAsiaTheme="majorEastAsia" w:cstheme="majorEastAsia"/>
                <w:b/>
                <w:sz w:val="24"/>
                <w:lang w:val="en-US" w:eastAsia="zh-CN"/>
              </w:rPr>
              <w:t>1</w:t>
            </w:r>
            <w:r>
              <w:rPr>
                <w:rFonts w:hint="eastAsia" w:asciiTheme="majorEastAsia" w:hAnsiTheme="majorEastAsia" w:eastAsiaTheme="majorEastAsia" w:cstheme="majorEastAsia"/>
                <w:b/>
                <w:sz w:val="24"/>
              </w:rPr>
              <w:t xml:space="preserve"> </w:t>
            </w:r>
            <w:r>
              <w:rPr>
                <w:rFonts w:hint="eastAsia" w:asciiTheme="majorEastAsia" w:hAnsiTheme="majorEastAsia" w:eastAsiaTheme="majorEastAsia" w:cstheme="majorEastAsia"/>
                <w:b/>
                <w:sz w:val="24"/>
                <w:lang w:eastAsia="zh-CN"/>
              </w:rPr>
              <w:t>废水排放</w:t>
            </w:r>
            <w:r>
              <w:rPr>
                <w:rFonts w:hint="eastAsia" w:asciiTheme="majorEastAsia" w:hAnsiTheme="majorEastAsia" w:eastAsiaTheme="majorEastAsia" w:cstheme="majorEastAsia"/>
                <w:b/>
                <w:sz w:val="24"/>
              </w:rPr>
              <w:t>标准</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373"/>
              <w:gridCol w:w="2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3" w:type="dxa"/>
                  <w:tcMar>
                    <w:left w:w="28" w:type="dxa"/>
                    <w:right w:w="28" w:type="dxa"/>
                  </w:tcMar>
                  <w:vAlign w:val="center"/>
                </w:tcPr>
                <w:p>
                  <w:pPr>
                    <w:pStyle w:val="59"/>
                    <w:rPr>
                      <w:rFonts w:hint="eastAsia" w:eastAsia="宋体"/>
                      <w:lang w:eastAsia="zh-CN"/>
                    </w:rPr>
                  </w:pPr>
                  <w:r>
                    <w:rPr>
                      <w:rFonts w:hint="eastAsia"/>
                      <w:lang w:eastAsia="zh-CN"/>
                    </w:rPr>
                    <w:t>污染物</w:t>
                  </w:r>
                </w:p>
              </w:tc>
              <w:tc>
                <w:tcPr>
                  <w:tcW w:w="1373" w:type="dxa"/>
                  <w:tcMar>
                    <w:left w:w="28" w:type="dxa"/>
                    <w:right w:w="28" w:type="dxa"/>
                  </w:tcMar>
                  <w:vAlign w:val="center"/>
                </w:tcPr>
                <w:p>
                  <w:pPr>
                    <w:pStyle w:val="59"/>
                    <w:rPr>
                      <w:rFonts w:hint="eastAsia" w:eastAsia="宋体"/>
                      <w:lang w:eastAsia="zh-CN"/>
                    </w:rPr>
                  </w:pPr>
                  <w:r>
                    <w:rPr>
                      <w:rFonts w:hint="eastAsia"/>
                      <w:lang w:eastAsia="zh-CN"/>
                    </w:rPr>
                    <w:t>单位</w:t>
                  </w:r>
                </w:p>
              </w:tc>
              <w:tc>
                <w:tcPr>
                  <w:tcW w:w="2870" w:type="dxa"/>
                  <w:tcMar>
                    <w:left w:w="28" w:type="dxa"/>
                    <w:right w:w="28" w:type="dxa"/>
                  </w:tcMar>
                  <w:vAlign w:val="center"/>
                </w:tcPr>
                <w:p>
                  <w:pPr>
                    <w:pStyle w:val="59"/>
                    <w:rPr>
                      <w:rFonts w:hint="eastAsia" w:eastAsia="宋体"/>
                      <w:lang w:eastAsia="zh-CN"/>
                    </w:rPr>
                  </w:pPr>
                  <w:r>
                    <w:rPr>
                      <w:rFonts w:hint="eastAsia"/>
                      <w:lang w:eastAsia="zh-CN"/>
                    </w:rPr>
                    <w:t>《污水综合排放标准》（</w:t>
                  </w:r>
                  <w:r>
                    <w:rPr>
                      <w:rFonts w:hint="eastAsia"/>
                      <w:lang w:val="en-US" w:eastAsia="zh-CN"/>
                    </w:rPr>
                    <w:t>GB8978-1996</w:t>
                  </w:r>
                  <w:r>
                    <w:rPr>
                      <w:rFonts w:hint="eastAsia"/>
                      <w:lang w:eastAsia="zh-CN"/>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3" w:type="dxa"/>
                  <w:tcMar>
                    <w:left w:w="28" w:type="dxa"/>
                    <w:right w:w="28" w:type="dxa"/>
                  </w:tcMar>
                  <w:vAlign w:val="center"/>
                </w:tcPr>
                <w:p>
                  <w:pPr>
                    <w:pStyle w:val="59"/>
                    <w:rPr>
                      <w:rFonts w:hint="default" w:eastAsia="宋体"/>
                      <w:lang w:val="en-US" w:eastAsia="zh-CN"/>
                    </w:rPr>
                  </w:pPr>
                  <w:r>
                    <w:rPr>
                      <w:rFonts w:hint="eastAsia"/>
                      <w:lang w:val="en-US" w:eastAsia="zh-CN"/>
                    </w:rPr>
                    <w:t>PH值</w:t>
                  </w:r>
                </w:p>
              </w:tc>
              <w:tc>
                <w:tcPr>
                  <w:tcW w:w="1373" w:type="dxa"/>
                  <w:tcMar>
                    <w:left w:w="28" w:type="dxa"/>
                    <w:right w:w="28" w:type="dxa"/>
                  </w:tcMar>
                  <w:vAlign w:val="center"/>
                </w:tcPr>
                <w:p>
                  <w:pPr>
                    <w:pStyle w:val="59"/>
                    <w:rPr>
                      <w:rFonts w:hint="eastAsia" w:eastAsia="宋体"/>
                      <w:lang w:val="en-US" w:eastAsia="zh-CN"/>
                    </w:rPr>
                  </w:pPr>
                  <w:r>
                    <w:rPr>
                      <w:rFonts w:hint="eastAsia"/>
                      <w:lang w:val="en-US" w:eastAsia="zh-CN"/>
                    </w:rPr>
                    <w:t>/</w:t>
                  </w:r>
                </w:p>
              </w:tc>
              <w:tc>
                <w:tcPr>
                  <w:tcW w:w="2870" w:type="dxa"/>
                  <w:tcMar>
                    <w:left w:w="28" w:type="dxa"/>
                    <w:right w:w="28" w:type="dxa"/>
                  </w:tcMar>
                  <w:vAlign w:val="center"/>
                </w:tcPr>
                <w:p>
                  <w:pPr>
                    <w:pStyle w:val="59"/>
                    <w:rPr>
                      <w:rFonts w:hint="default" w:eastAsia="宋体"/>
                      <w:lang w:val="en-US" w:eastAsia="zh-CN"/>
                    </w:rPr>
                  </w:pPr>
                  <w:r>
                    <w:rPr>
                      <w:rFonts w:hint="eastAsia"/>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3" w:type="dxa"/>
                  <w:tcMar>
                    <w:left w:w="28" w:type="dxa"/>
                    <w:right w:w="28" w:type="dxa"/>
                  </w:tcMar>
                  <w:vAlign w:val="center"/>
                </w:tcPr>
                <w:p>
                  <w:pPr>
                    <w:pStyle w:val="59"/>
                    <w:rPr>
                      <w:rFonts w:hint="eastAsia" w:eastAsia="宋体"/>
                      <w:lang w:eastAsia="zh-CN"/>
                    </w:rPr>
                  </w:pPr>
                  <w:r>
                    <w:rPr>
                      <w:rFonts w:hint="eastAsia"/>
                      <w:lang w:eastAsia="zh-CN"/>
                    </w:rPr>
                    <w:t>悬浮物</w:t>
                  </w:r>
                </w:p>
              </w:tc>
              <w:tc>
                <w:tcPr>
                  <w:tcW w:w="1373" w:type="dxa"/>
                  <w:tcMar>
                    <w:left w:w="28" w:type="dxa"/>
                    <w:right w:w="28" w:type="dxa"/>
                  </w:tcMar>
                  <w:vAlign w:val="center"/>
                </w:tcPr>
                <w:p>
                  <w:pPr>
                    <w:pStyle w:val="59"/>
                    <w:jc w:val="center"/>
                    <w:rPr>
                      <w:rFonts w:hint="default" w:eastAsia="宋体"/>
                      <w:lang w:val="en-US" w:eastAsia="zh-CN"/>
                    </w:rPr>
                  </w:pPr>
                  <w:r>
                    <w:rPr>
                      <w:rFonts w:hint="eastAsia"/>
                      <w:lang w:val="en-US" w:eastAsia="zh-CN"/>
                    </w:rPr>
                    <w:t>mg/L</w:t>
                  </w:r>
                </w:p>
              </w:tc>
              <w:tc>
                <w:tcPr>
                  <w:tcW w:w="2870" w:type="dxa"/>
                  <w:tcMar>
                    <w:left w:w="28" w:type="dxa"/>
                    <w:right w:w="28" w:type="dxa"/>
                  </w:tcMar>
                  <w:vAlign w:val="center"/>
                </w:tcPr>
                <w:p>
                  <w:pPr>
                    <w:pStyle w:val="59"/>
                    <w:rPr>
                      <w:rFonts w:hint="default" w:eastAsia="宋体"/>
                      <w:lang w:val="en-US" w:eastAsia="zh-CN"/>
                    </w:rPr>
                  </w:pPr>
                  <w:r>
                    <w:rPr>
                      <w:rFonts w:hint="eastAsia"/>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3" w:type="dxa"/>
                  <w:tcMar>
                    <w:left w:w="28" w:type="dxa"/>
                    <w:right w:w="28" w:type="dxa"/>
                  </w:tcMar>
                  <w:vAlign w:val="center"/>
                </w:tcPr>
                <w:p>
                  <w:pPr>
                    <w:pStyle w:val="59"/>
                    <w:rPr>
                      <w:rFonts w:hint="eastAsia" w:eastAsia="宋体"/>
                      <w:lang w:eastAsia="zh-CN"/>
                    </w:rPr>
                  </w:pPr>
                  <w:r>
                    <w:rPr>
                      <w:rFonts w:hint="eastAsia"/>
                      <w:lang w:eastAsia="zh-CN"/>
                    </w:rPr>
                    <w:t>化学需氧量</w:t>
                  </w:r>
                </w:p>
              </w:tc>
              <w:tc>
                <w:tcPr>
                  <w:tcW w:w="1373" w:type="dxa"/>
                  <w:tcMar>
                    <w:left w:w="28" w:type="dxa"/>
                    <w:right w:w="28" w:type="dxa"/>
                  </w:tcMar>
                  <w:vAlign w:val="center"/>
                </w:tcPr>
                <w:p>
                  <w:pPr>
                    <w:pStyle w:val="59"/>
                  </w:pPr>
                  <w:r>
                    <w:rPr>
                      <w:rFonts w:hint="eastAsia"/>
                      <w:lang w:val="en-US" w:eastAsia="zh-CN"/>
                    </w:rPr>
                    <w:t>mg/L</w:t>
                  </w:r>
                </w:p>
              </w:tc>
              <w:tc>
                <w:tcPr>
                  <w:tcW w:w="2870" w:type="dxa"/>
                  <w:tcMar>
                    <w:left w:w="28" w:type="dxa"/>
                    <w:right w:w="28" w:type="dxa"/>
                  </w:tcMar>
                  <w:vAlign w:val="center"/>
                </w:tcPr>
                <w:p>
                  <w:pPr>
                    <w:pStyle w:val="59"/>
                    <w:rPr>
                      <w:rFonts w:hint="default" w:eastAsia="宋体"/>
                      <w:lang w:val="en-US" w:eastAsia="zh-CN"/>
                    </w:rPr>
                  </w:pPr>
                  <w:r>
                    <w:rPr>
                      <w:rFonts w:hint="eastAsia"/>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3" w:type="dxa"/>
                  <w:tcMar>
                    <w:left w:w="28" w:type="dxa"/>
                    <w:right w:w="28" w:type="dxa"/>
                  </w:tcMar>
                  <w:vAlign w:val="center"/>
                </w:tcPr>
                <w:p>
                  <w:pPr>
                    <w:pStyle w:val="59"/>
                    <w:rPr>
                      <w:rFonts w:hint="default"/>
                      <w:lang w:val="en-US" w:eastAsia="zh-CN"/>
                    </w:rPr>
                  </w:pPr>
                  <w:r>
                    <w:rPr>
                      <w:rFonts w:hint="eastAsia"/>
                      <w:lang w:val="en-US" w:eastAsia="zh-CN"/>
                    </w:rPr>
                    <w:t>BOD5</w:t>
                  </w:r>
                </w:p>
              </w:tc>
              <w:tc>
                <w:tcPr>
                  <w:tcW w:w="1373" w:type="dxa"/>
                  <w:tcMar>
                    <w:left w:w="28" w:type="dxa"/>
                    <w:right w:w="28" w:type="dxa"/>
                  </w:tcMar>
                  <w:vAlign w:val="center"/>
                </w:tcPr>
                <w:p>
                  <w:pPr>
                    <w:pStyle w:val="59"/>
                    <w:rPr>
                      <w:rFonts w:hint="eastAsia"/>
                      <w:lang w:val="en-US" w:eastAsia="zh-CN"/>
                    </w:rPr>
                  </w:pPr>
                  <w:r>
                    <w:rPr>
                      <w:rFonts w:hint="eastAsia"/>
                      <w:lang w:val="en-US" w:eastAsia="zh-CN"/>
                    </w:rPr>
                    <w:t>mg/L</w:t>
                  </w:r>
                </w:p>
              </w:tc>
              <w:tc>
                <w:tcPr>
                  <w:tcW w:w="2870" w:type="dxa"/>
                  <w:tcMar>
                    <w:left w:w="28" w:type="dxa"/>
                    <w:right w:w="28" w:type="dxa"/>
                  </w:tcMar>
                  <w:vAlign w:val="center"/>
                </w:tcPr>
                <w:p>
                  <w:pPr>
                    <w:pStyle w:val="59"/>
                    <w:rPr>
                      <w:rFonts w:hint="default"/>
                      <w:lang w:val="en-US" w:eastAsia="zh-CN"/>
                    </w:rPr>
                  </w:pPr>
                  <w:r>
                    <w:rPr>
                      <w:rFonts w:hint="eastAsia"/>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3" w:type="dxa"/>
                  <w:tcMar>
                    <w:left w:w="28" w:type="dxa"/>
                    <w:right w:w="28" w:type="dxa"/>
                  </w:tcMar>
                  <w:vAlign w:val="center"/>
                </w:tcPr>
                <w:p>
                  <w:pPr>
                    <w:pStyle w:val="59"/>
                    <w:rPr>
                      <w:rFonts w:hint="eastAsia"/>
                      <w:lang w:eastAsia="zh-CN"/>
                    </w:rPr>
                  </w:pPr>
                  <w:r>
                    <w:rPr>
                      <w:rFonts w:hint="eastAsia"/>
                      <w:lang w:eastAsia="zh-CN"/>
                    </w:rPr>
                    <w:t>动植物油类</w:t>
                  </w:r>
                </w:p>
              </w:tc>
              <w:tc>
                <w:tcPr>
                  <w:tcW w:w="1373" w:type="dxa"/>
                  <w:tcMar>
                    <w:left w:w="28" w:type="dxa"/>
                    <w:right w:w="28" w:type="dxa"/>
                  </w:tcMar>
                  <w:vAlign w:val="center"/>
                </w:tcPr>
                <w:p>
                  <w:pPr>
                    <w:pStyle w:val="59"/>
                    <w:rPr>
                      <w:rFonts w:hint="eastAsia"/>
                      <w:lang w:val="en-US" w:eastAsia="zh-CN"/>
                    </w:rPr>
                  </w:pPr>
                  <w:r>
                    <w:rPr>
                      <w:rFonts w:hint="eastAsia"/>
                      <w:lang w:val="en-US" w:eastAsia="zh-CN"/>
                    </w:rPr>
                    <w:t>mg/L</w:t>
                  </w:r>
                </w:p>
              </w:tc>
              <w:tc>
                <w:tcPr>
                  <w:tcW w:w="2870" w:type="dxa"/>
                  <w:tcMar>
                    <w:left w:w="28" w:type="dxa"/>
                    <w:right w:w="28" w:type="dxa"/>
                  </w:tcMar>
                  <w:vAlign w:val="center"/>
                </w:tcPr>
                <w:p>
                  <w:pPr>
                    <w:pStyle w:val="59"/>
                    <w:rPr>
                      <w:rFonts w:hint="default"/>
                      <w:lang w:val="en-US" w:eastAsia="zh-CN"/>
                    </w:rPr>
                  </w:pPr>
                  <w:r>
                    <w:rPr>
                      <w:rFonts w:hint="eastAsia"/>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3" w:type="dxa"/>
                  <w:tcMar>
                    <w:left w:w="28" w:type="dxa"/>
                    <w:right w:w="28" w:type="dxa"/>
                  </w:tcMar>
                  <w:vAlign w:val="center"/>
                </w:tcPr>
                <w:p>
                  <w:pPr>
                    <w:pStyle w:val="59"/>
                    <w:rPr>
                      <w:rFonts w:hint="eastAsia"/>
                      <w:lang w:eastAsia="zh-CN"/>
                    </w:rPr>
                  </w:pPr>
                  <w:r>
                    <w:rPr>
                      <w:rFonts w:hint="eastAsia"/>
                      <w:lang w:eastAsia="zh-CN"/>
                    </w:rPr>
                    <w:t>石油类</w:t>
                  </w:r>
                </w:p>
              </w:tc>
              <w:tc>
                <w:tcPr>
                  <w:tcW w:w="1373" w:type="dxa"/>
                  <w:tcMar>
                    <w:left w:w="28" w:type="dxa"/>
                    <w:right w:w="28" w:type="dxa"/>
                  </w:tcMar>
                  <w:vAlign w:val="center"/>
                </w:tcPr>
                <w:p>
                  <w:pPr>
                    <w:pStyle w:val="59"/>
                    <w:rPr>
                      <w:rFonts w:hint="eastAsia"/>
                      <w:lang w:val="en-US" w:eastAsia="zh-CN"/>
                    </w:rPr>
                  </w:pPr>
                  <w:r>
                    <w:rPr>
                      <w:rFonts w:hint="eastAsia"/>
                      <w:lang w:val="en-US" w:eastAsia="zh-CN"/>
                    </w:rPr>
                    <w:t>mg/L</w:t>
                  </w:r>
                </w:p>
              </w:tc>
              <w:tc>
                <w:tcPr>
                  <w:tcW w:w="2870" w:type="dxa"/>
                  <w:tcMar>
                    <w:left w:w="28" w:type="dxa"/>
                    <w:right w:w="28" w:type="dxa"/>
                  </w:tcMar>
                  <w:vAlign w:val="center"/>
                </w:tcPr>
                <w:p>
                  <w:pPr>
                    <w:pStyle w:val="59"/>
                    <w:rPr>
                      <w:rFonts w:hint="default"/>
                      <w:lang w:val="en-US" w:eastAsia="zh-CN"/>
                    </w:rPr>
                  </w:pPr>
                  <w:r>
                    <w:rPr>
                      <w:rFonts w:hint="eastAsia"/>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13" w:type="dxa"/>
                  <w:tcMar>
                    <w:left w:w="28" w:type="dxa"/>
                    <w:right w:w="28" w:type="dxa"/>
                  </w:tcMar>
                  <w:vAlign w:val="center"/>
                </w:tcPr>
                <w:p>
                  <w:pPr>
                    <w:pStyle w:val="59"/>
                    <w:rPr>
                      <w:rFonts w:hint="eastAsia" w:eastAsia="宋体"/>
                      <w:lang w:eastAsia="zh-CN"/>
                    </w:rPr>
                  </w:pPr>
                  <w:r>
                    <w:rPr>
                      <w:rFonts w:hint="eastAsia"/>
                      <w:lang w:eastAsia="zh-CN"/>
                    </w:rPr>
                    <w:t>氨氮</w:t>
                  </w:r>
                </w:p>
              </w:tc>
              <w:tc>
                <w:tcPr>
                  <w:tcW w:w="1373" w:type="dxa"/>
                  <w:tcMar>
                    <w:left w:w="28" w:type="dxa"/>
                    <w:right w:w="28" w:type="dxa"/>
                  </w:tcMar>
                  <w:vAlign w:val="center"/>
                </w:tcPr>
                <w:p>
                  <w:pPr>
                    <w:pStyle w:val="59"/>
                  </w:pPr>
                  <w:r>
                    <w:rPr>
                      <w:rFonts w:hint="eastAsia"/>
                      <w:lang w:val="en-US" w:eastAsia="zh-CN"/>
                    </w:rPr>
                    <w:t>mg/L</w:t>
                  </w:r>
                </w:p>
              </w:tc>
              <w:tc>
                <w:tcPr>
                  <w:tcW w:w="2870" w:type="dxa"/>
                  <w:tcMar>
                    <w:left w:w="28" w:type="dxa"/>
                    <w:right w:w="28" w:type="dxa"/>
                  </w:tcMar>
                  <w:vAlign w:val="center"/>
                </w:tcPr>
                <w:p>
                  <w:pPr>
                    <w:pStyle w:val="59"/>
                    <w:rPr>
                      <w:rFonts w:hint="default" w:eastAsia="宋体"/>
                      <w:lang w:val="en-US" w:eastAsia="zh-CN"/>
                    </w:rPr>
                  </w:pPr>
                  <w:r>
                    <w:rPr>
                      <w:rFonts w:hint="eastAsia"/>
                      <w:lang w:val="en-US" w:eastAsia="zh-CN"/>
                    </w:rPr>
                    <w:t>15</w:t>
                  </w:r>
                </w:p>
              </w:tc>
            </w:tr>
          </w:tbl>
          <w:p>
            <w:pPr>
              <w:pStyle w:val="5"/>
            </w:pPr>
            <w:bookmarkStart w:id="15" w:name="_Toc32336"/>
            <w:bookmarkStart w:id="16" w:name="_Toc17492"/>
            <w:r>
              <w:t>噪声排放标准</w:t>
            </w:r>
            <w:bookmarkEnd w:id="15"/>
            <w:bookmarkEnd w:id="16"/>
          </w:p>
          <w:p>
            <w:pPr>
              <w:pStyle w:val="18"/>
              <w:rPr>
                <w:rFonts w:hint="eastAsia" w:ascii="宋体" w:hAnsi="宋体" w:eastAsia="宋体" w:cs="宋体"/>
                <w:color w:val="auto"/>
                <w:lang w:val="en-US" w:eastAsia="zh-CN"/>
              </w:rPr>
            </w:pPr>
            <w:r>
              <w:rPr>
                <w:rFonts w:hint="eastAsia" w:ascii="宋体" w:hAnsi="宋体" w:eastAsia="宋体" w:cs="宋体"/>
                <w:color w:val="auto"/>
              </w:rPr>
              <w:t>本项目营运期四周厂界环境噪声排放限值执行《工业企业厂界环境噪声排放标准》（GB12348-2008）中</w:t>
            </w:r>
            <w:r>
              <w:rPr>
                <w:rFonts w:hint="eastAsia"/>
                <w:lang w:val="en-US" w:eastAsia="zh-CN"/>
              </w:rPr>
              <w:t>Ⅱ</w:t>
            </w:r>
            <w:r>
              <w:rPr>
                <w:rFonts w:hint="eastAsia" w:ascii="宋体" w:hAnsi="宋体" w:eastAsia="宋体" w:cs="宋体"/>
                <w:color w:val="auto"/>
              </w:rPr>
              <w:t>类标准，具体见表1</w:t>
            </w:r>
            <w:r>
              <w:rPr>
                <w:rFonts w:hint="eastAsia" w:cs="宋体"/>
                <w:color w:val="auto"/>
                <w:lang w:val="en-US" w:eastAsia="zh-CN"/>
              </w:rPr>
              <w:t>.6</w:t>
            </w:r>
            <w:r>
              <w:rPr>
                <w:rFonts w:hint="eastAsia" w:ascii="宋体" w:hAnsi="宋体" w:eastAsia="宋体" w:cs="宋体"/>
                <w:color w:val="auto"/>
              </w:rPr>
              <w:t>-</w:t>
            </w:r>
            <w:r>
              <w:rPr>
                <w:rFonts w:hint="eastAsia" w:cs="宋体"/>
                <w:color w:val="auto"/>
                <w:lang w:val="en-US" w:eastAsia="zh-CN"/>
              </w:rPr>
              <w:t>1</w:t>
            </w:r>
            <w:r>
              <w:rPr>
                <w:rFonts w:hint="eastAsia" w:ascii="宋体" w:hAnsi="宋体" w:eastAsia="宋体" w:cs="宋体"/>
                <w:color w:val="auto"/>
                <w:lang w:eastAsia="zh-CN"/>
              </w:rPr>
              <w:t>。</w:t>
            </w:r>
          </w:p>
          <w:p>
            <w:pPr>
              <w:pStyle w:val="18"/>
              <w:ind w:firstLine="482"/>
              <w:jc w:val="center"/>
              <w:rPr>
                <w:b/>
                <w:bCs/>
                <w:color w:val="auto"/>
              </w:rPr>
            </w:pPr>
            <w:r>
              <w:rPr>
                <w:b/>
                <w:bCs/>
                <w:color w:val="auto"/>
              </w:rPr>
              <w:t>表1</w:t>
            </w:r>
            <w:r>
              <w:rPr>
                <w:rFonts w:hint="eastAsia"/>
                <w:b/>
                <w:bCs/>
                <w:color w:val="auto"/>
                <w:lang w:val="en-US" w:eastAsia="zh-CN"/>
              </w:rPr>
              <w:t>.6</w:t>
            </w:r>
            <w:r>
              <w:rPr>
                <w:rFonts w:hint="eastAsia"/>
                <w:b/>
                <w:bCs/>
                <w:color w:val="auto"/>
              </w:rPr>
              <w:t>-</w:t>
            </w:r>
            <w:r>
              <w:rPr>
                <w:rFonts w:hint="eastAsia"/>
                <w:b/>
                <w:bCs/>
                <w:color w:val="auto"/>
                <w:lang w:val="en-US" w:eastAsia="zh-CN"/>
              </w:rPr>
              <w:t>1</w:t>
            </w:r>
            <w:r>
              <w:rPr>
                <w:b/>
                <w:bCs/>
                <w:color w:val="auto"/>
              </w:rPr>
              <w:t>工业企业厂界环境噪声排放标准单位：LeqdB</w:t>
            </w:r>
            <w:r>
              <w:rPr>
                <w:rFonts w:hint="eastAsia"/>
                <w:b/>
                <w:bCs/>
                <w:color w:val="auto"/>
              </w:rPr>
              <w:t>（</w:t>
            </w:r>
            <w:r>
              <w:rPr>
                <w:b/>
                <w:bCs/>
                <w:color w:val="auto"/>
              </w:rPr>
              <w:t>A</w:t>
            </w:r>
            <w:r>
              <w:rPr>
                <w:rFonts w:hint="eastAsia"/>
                <w:b/>
                <w:bCs/>
                <w:color w:val="auto"/>
              </w:rPr>
              <w:t>）</w:t>
            </w:r>
          </w:p>
          <w:tbl>
            <w:tblPr>
              <w:tblStyle w:val="3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609"/>
              <w:gridCol w:w="2356"/>
              <w:gridCol w:w="21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13" w:type="dxa"/>
                  <w:vAlign w:val="center"/>
                </w:tcPr>
                <w:p>
                  <w:pPr>
                    <w:adjustRightInd w:val="0"/>
                    <w:snapToGrid w:val="0"/>
                    <w:jc w:val="center"/>
                    <w:rPr>
                      <w:bCs/>
                      <w:color w:val="auto"/>
                    </w:rPr>
                  </w:pPr>
                  <w:r>
                    <w:rPr>
                      <w:bCs/>
                      <w:color w:val="auto"/>
                    </w:rPr>
                    <w:t>厂界外声环境功能区类别</w:t>
                  </w:r>
                </w:p>
              </w:tc>
              <w:tc>
                <w:tcPr>
                  <w:tcW w:w="2625" w:type="dxa"/>
                  <w:vAlign w:val="center"/>
                </w:tcPr>
                <w:p>
                  <w:pPr>
                    <w:adjustRightInd w:val="0"/>
                    <w:snapToGrid w:val="0"/>
                    <w:jc w:val="center"/>
                    <w:rPr>
                      <w:bCs/>
                      <w:color w:val="auto"/>
                    </w:rPr>
                  </w:pPr>
                  <w:r>
                    <w:rPr>
                      <w:bCs/>
                      <w:color w:val="auto"/>
                    </w:rPr>
                    <w:t>昼间</w:t>
                  </w:r>
                </w:p>
              </w:tc>
              <w:tc>
                <w:tcPr>
                  <w:tcW w:w="2400" w:type="dxa"/>
                  <w:vAlign w:val="center"/>
                </w:tcPr>
                <w:p>
                  <w:pPr>
                    <w:adjustRightInd w:val="0"/>
                    <w:snapToGrid w:val="0"/>
                    <w:jc w:val="center"/>
                    <w:rPr>
                      <w:bCs/>
                      <w:color w:val="auto"/>
                    </w:rPr>
                  </w:pPr>
                  <w:r>
                    <w:rPr>
                      <w:rFonts w:hint="eastAsia"/>
                      <w:bCs/>
                      <w:color w:val="auto"/>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13" w:type="dxa"/>
                  <w:vAlign w:val="center"/>
                </w:tcPr>
                <w:p>
                  <w:pPr>
                    <w:adjustRightInd w:val="0"/>
                    <w:snapToGrid w:val="0"/>
                    <w:jc w:val="center"/>
                    <w:rPr>
                      <w:bCs/>
                      <w:color w:val="auto"/>
                    </w:rPr>
                  </w:pPr>
                  <w:r>
                    <w:rPr>
                      <w:rFonts w:hint="eastAsia"/>
                      <w:bCs/>
                      <w:color w:val="auto"/>
                      <w:lang w:val="en-US" w:eastAsia="zh-CN"/>
                    </w:rPr>
                    <w:t>Ⅱ</w:t>
                  </w:r>
                  <w:r>
                    <w:rPr>
                      <w:rFonts w:hint="eastAsia"/>
                      <w:bCs/>
                      <w:color w:val="auto"/>
                    </w:rPr>
                    <w:t>类</w:t>
                  </w:r>
                </w:p>
              </w:tc>
              <w:tc>
                <w:tcPr>
                  <w:tcW w:w="2625" w:type="dxa"/>
                  <w:vAlign w:val="center"/>
                </w:tcPr>
                <w:p>
                  <w:pPr>
                    <w:adjustRightInd w:val="0"/>
                    <w:snapToGrid w:val="0"/>
                    <w:jc w:val="center"/>
                    <w:rPr>
                      <w:rFonts w:hint="eastAsia" w:eastAsia="宋体"/>
                      <w:bCs/>
                      <w:color w:val="auto"/>
                      <w:lang w:val="en-US" w:eastAsia="zh-CN"/>
                    </w:rPr>
                  </w:pPr>
                  <w:r>
                    <w:rPr>
                      <w:rFonts w:hint="eastAsia"/>
                      <w:bCs/>
                      <w:color w:val="auto"/>
                    </w:rPr>
                    <w:t>6</w:t>
                  </w:r>
                  <w:r>
                    <w:rPr>
                      <w:rFonts w:hint="eastAsia"/>
                      <w:bCs/>
                      <w:color w:val="auto"/>
                      <w:lang w:val="en-US" w:eastAsia="zh-CN"/>
                    </w:rPr>
                    <w:t>0</w:t>
                  </w:r>
                </w:p>
              </w:tc>
              <w:tc>
                <w:tcPr>
                  <w:tcW w:w="2400" w:type="dxa"/>
                  <w:vAlign w:val="center"/>
                </w:tcPr>
                <w:p>
                  <w:pPr>
                    <w:adjustRightInd w:val="0"/>
                    <w:snapToGrid w:val="0"/>
                    <w:jc w:val="center"/>
                    <w:rPr>
                      <w:rFonts w:hint="eastAsia" w:eastAsia="宋体"/>
                      <w:bCs/>
                      <w:color w:val="auto"/>
                      <w:lang w:val="en-US" w:eastAsia="zh-CN"/>
                    </w:rPr>
                  </w:pPr>
                  <w:r>
                    <w:rPr>
                      <w:rFonts w:hint="eastAsia"/>
                      <w:bCs/>
                      <w:color w:val="auto"/>
                    </w:rPr>
                    <w:t>5</w:t>
                  </w:r>
                  <w:r>
                    <w:rPr>
                      <w:rFonts w:hint="eastAsia"/>
                      <w:bCs/>
                      <w:color w:val="auto"/>
                      <w:lang w:val="en-US" w:eastAsia="zh-CN"/>
                    </w:rPr>
                    <w:t>0</w:t>
                  </w:r>
                </w:p>
              </w:tc>
            </w:tr>
          </w:tbl>
          <w:p>
            <w:pPr>
              <w:pStyle w:val="5"/>
            </w:pPr>
            <w:bookmarkStart w:id="17" w:name="_Toc26924"/>
            <w:bookmarkStart w:id="18" w:name="_Toc4598"/>
            <w:r>
              <w:rPr>
                <w:rFonts w:hint="eastAsia"/>
              </w:rPr>
              <w:t>固废排放标准</w:t>
            </w:r>
            <w:bookmarkEnd w:id="17"/>
            <w:bookmarkEnd w:id="18"/>
          </w:p>
          <w:p>
            <w:pPr>
              <w:spacing w:line="360" w:lineRule="auto"/>
              <w:ind w:firstLine="480" w:firstLineChars="200"/>
              <w:rPr>
                <w:sz w:val="24"/>
              </w:rPr>
            </w:pPr>
            <w:r>
              <w:rPr>
                <w:rFonts w:hint="eastAsia"/>
                <w:sz w:val="24"/>
              </w:rPr>
              <w:t>一般固体废弃物执行《一般工业固体废物贮存、处置场污染控制标准》（GB18599-2001）及修改单和《中华人民共和国固体废物污染环境防治法》中的有关规定</w:t>
            </w:r>
            <w:r>
              <w:rPr>
                <w:sz w:val="24"/>
              </w:rPr>
              <w:t>。</w:t>
            </w:r>
            <w:r>
              <w:rPr>
                <w:rFonts w:hint="eastAsia"/>
                <w:sz w:val="24"/>
              </w:rPr>
              <w:t>危险固废须委托有相应资质的单位按照国家有关规定妥善处理处置，危险废物暂存设施需符合《危险废物贮存污染控制标准》（GB18597-2001）中有关规定。</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pStyle w:val="3"/>
      </w:pPr>
      <w:bookmarkStart w:id="19" w:name="_Toc1234"/>
      <w:bookmarkStart w:id="20" w:name="_Toc1088"/>
      <w:r>
        <w:rPr>
          <w:rFonts w:hint="eastAsia"/>
        </w:rPr>
        <w:t>工程建设内容</w:t>
      </w:r>
      <w:bookmarkEnd w:id="19"/>
      <w:bookmarkEnd w:id="20"/>
    </w:p>
    <w:tbl>
      <w:tblPr>
        <w:tblStyle w:val="37"/>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3" w:hRule="atLeast"/>
          <w:jc w:val="center"/>
        </w:trPr>
        <w:tc>
          <w:tcPr>
            <w:tcW w:w="9028" w:type="dxa"/>
          </w:tcPr>
          <w:p>
            <w:pPr>
              <w:pStyle w:val="5"/>
            </w:pPr>
            <w:bookmarkStart w:id="21" w:name="_Toc524703312"/>
            <w:bookmarkEnd w:id="21"/>
            <w:bookmarkStart w:id="22" w:name="_Toc519235273"/>
            <w:bookmarkEnd w:id="22"/>
            <w:bookmarkStart w:id="23" w:name="_Toc519235207"/>
            <w:bookmarkEnd w:id="23"/>
            <w:bookmarkStart w:id="24" w:name="_Toc518567390"/>
            <w:bookmarkEnd w:id="24"/>
            <w:bookmarkStart w:id="25" w:name="_Toc519179405"/>
            <w:bookmarkEnd w:id="25"/>
            <w:bookmarkStart w:id="26" w:name="_Toc524703379"/>
            <w:bookmarkEnd w:id="26"/>
            <w:bookmarkStart w:id="27" w:name="_Toc531881884"/>
            <w:bookmarkEnd w:id="27"/>
            <w:bookmarkStart w:id="28" w:name="_Toc529265072"/>
            <w:bookmarkEnd w:id="28"/>
            <w:bookmarkStart w:id="29" w:name="_Toc531879808"/>
            <w:bookmarkEnd w:id="29"/>
            <w:bookmarkStart w:id="30" w:name="_Toc20707"/>
            <w:bookmarkStart w:id="31" w:name="_Toc26178"/>
            <w:r>
              <w:rPr>
                <w:rFonts w:hint="eastAsia"/>
              </w:rPr>
              <w:t>现有项目概况</w:t>
            </w:r>
            <w:bookmarkEnd w:id="30"/>
            <w:bookmarkEnd w:id="31"/>
          </w:p>
          <w:p>
            <w:pPr>
              <w:pStyle w:val="4"/>
            </w:pPr>
            <w:r>
              <w:rPr>
                <w:rFonts w:hint="eastAsia"/>
              </w:rPr>
              <w:t>本项目位于</w:t>
            </w:r>
            <w:r>
              <w:rPr>
                <w:rFonts w:hint="eastAsia"/>
                <w:sz w:val="24"/>
                <w:lang w:eastAsia="zh-CN"/>
              </w:rPr>
              <w:t>宁波市海曙区古林镇蜃蛟村</w:t>
            </w:r>
            <w:r>
              <w:t>，地理位置见图2.1-1。</w:t>
            </w:r>
          </w:p>
          <w:p>
            <w:pPr>
              <w:pStyle w:val="4"/>
              <w:ind w:firstLine="0" w:firstLineChars="0"/>
              <w:jc w:val="center"/>
              <w:rPr>
                <w:rFonts w:hint="eastAsia" w:eastAsiaTheme="majorEastAsia"/>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902970</wp:posOffset>
                      </wp:positionH>
                      <wp:positionV relativeFrom="paragraph">
                        <wp:posOffset>1602740</wp:posOffset>
                      </wp:positionV>
                      <wp:extent cx="658495" cy="311150"/>
                      <wp:effectExtent l="12700" t="12700" r="167005" b="666750"/>
                      <wp:wrapNone/>
                      <wp:docPr id="2" name="圆角矩形标注 2"/>
                      <wp:cNvGraphicFramePr/>
                      <a:graphic xmlns:a="http://schemas.openxmlformats.org/drawingml/2006/main">
                        <a:graphicData uri="http://schemas.microsoft.com/office/word/2010/wordprocessingShape">
                          <wps:wsp>
                            <wps:cNvSpPr/>
                            <wps:spPr>
                              <a:xfrm>
                                <a:off x="3399155" y="3592830"/>
                                <a:ext cx="658495" cy="311150"/>
                              </a:xfrm>
                              <a:prstGeom prst="wedgeRoundRectCallout">
                                <a:avLst>
                                  <a:gd name="adj1" fmla="val 71504"/>
                                  <a:gd name="adj2" fmla="val 25448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1.1pt;margin-top:126.2pt;height:24.5pt;width:51.85pt;z-index:251659264;v-text-anchor:middle;mso-width-relative:page;mso-height-relative:page;" filled="f" stroked="t" coordsize="21600,21600" o:gfxdata="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7eL6z2wAAAAsBAAAPAAAA&#10;AAAAAAEAIAAAACIAAABkcnMvZG93bnJldi54bWxQSwECFAAUAAAACACHTuJA20zhxb0CAABdBQAA&#10;DgAAAAAAAAABACAAAAAqAQAAZHJzL2Uyb0RvYy54bWxQSwUGAAAAAAYABgBZAQAAWQYAAAAA&#10;" adj="26245,65770,14400">
                      <v:fill on="f" focussize="0,0"/>
                      <v:stroke weight="2pt" color="#000000 [3213]" joinstyle="round"/>
                      <v:imagedata o:title=""/>
                      <o:lock v:ext="edit" aspectratio="f"/>
                      <v:textbox>
                        <w:txbxContent>
                          <w:p>
                            <w:pPr>
                              <w:jc w:val="center"/>
                              <w:rPr>
                                <w:rFonts w:hint="eastAsia" w:eastAsia="宋体"/>
                                <w:color w:val="FF0000"/>
                                <w:lang w:val="en-US" w:eastAsia="zh-CN"/>
                              </w:rPr>
                            </w:pPr>
                            <w:r>
                              <w:rPr>
                                <w:rFonts w:hint="eastAsia"/>
                                <w:color w:val="FF0000"/>
                                <w:lang w:val="en-US" w:eastAsia="zh-CN"/>
                              </w:rPr>
                              <w:t>本项目</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1682115</wp:posOffset>
                      </wp:positionH>
                      <wp:positionV relativeFrom="paragraph">
                        <wp:posOffset>2456180</wp:posOffset>
                      </wp:positionV>
                      <wp:extent cx="105410" cy="256540"/>
                      <wp:effectExtent l="20955" t="74295" r="27305" b="86995"/>
                      <wp:wrapNone/>
                      <wp:docPr id="23" name="矩形 23"/>
                      <wp:cNvGraphicFramePr/>
                      <a:graphic xmlns:a="http://schemas.openxmlformats.org/drawingml/2006/main">
                        <a:graphicData uri="http://schemas.microsoft.com/office/word/2010/wordprocessingShape">
                          <wps:wsp>
                            <wps:cNvSpPr/>
                            <wps:spPr>
                              <a:xfrm rot="18180000">
                                <a:off x="3339465" y="4417060"/>
                                <a:ext cx="105410" cy="256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45pt;margin-top:193.4pt;height:20.2pt;width:8.3pt;rotation:-3735552f;z-index:251662336;v-text-anchor:middle;mso-width-relative:page;mso-height-relative:page;" filled="f" stroked="t" coordsize="21600,21600" o:gfxdata="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b0Fh62QAAAAsBAAAPAAAAAAAAAAEAIAAAACIAAABkcnMv&#10;ZG93bnJldi54bWxQSwECFAAUAAAACACHTuJA4Efix3QCAADQBAAADgAAAAAAAAABACAAAAAoAQAA&#10;ZHJzL2Uyb0RvYy54bWxQSwUGAAAAAAYABgBZAQAADgYAAAAA&#10;">
                      <v:fill on="f" focussize="0,0"/>
                      <v:stroke weight="2pt" color="#FF0000 [3204]" joinstyle="round"/>
                      <v:imagedata o:title=""/>
                      <o:lock v:ext="edit" aspectratio="f"/>
                    </v:rect>
                  </w:pict>
                </mc:Fallback>
              </mc:AlternateContent>
            </w:r>
            <w:r>
              <w:rPr>
                <w:rFonts w:hint="eastAsia" w:eastAsiaTheme="majorEastAsia"/>
                <w:lang w:eastAsia="zh-CN"/>
              </w:rPr>
              <w:drawing>
                <wp:inline distT="0" distB="0" distL="114300" distR="114300">
                  <wp:extent cx="5528310" cy="4016375"/>
                  <wp:effectExtent l="0" t="0" r="15240" b="3175"/>
                  <wp:docPr id="12" name="图片 12" descr="164557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579467"/>
                          <pic:cNvPicPr>
                            <a:picLocks noChangeAspect="1"/>
                          </pic:cNvPicPr>
                        </pic:nvPicPr>
                        <pic:blipFill>
                          <a:blip r:embed="rId10"/>
                          <a:stretch>
                            <a:fillRect/>
                          </a:stretch>
                        </pic:blipFill>
                        <pic:spPr>
                          <a:xfrm>
                            <a:off x="0" y="0"/>
                            <a:ext cx="5528310" cy="4016375"/>
                          </a:xfrm>
                          <a:prstGeom prst="rect">
                            <a:avLst/>
                          </a:prstGeom>
                        </pic:spPr>
                      </pic:pic>
                    </a:graphicData>
                  </a:graphic>
                </wp:inline>
              </w:drawing>
            </w:r>
          </w:p>
          <w:p>
            <w:pPr>
              <w:pStyle w:val="15"/>
              <w:spacing w:line="360" w:lineRule="auto"/>
              <w:rPr>
                <w:highlight w:val="none"/>
              </w:rPr>
            </w:pPr>
            <w:r>
              <w:rPr>
                <w:rFonts w:hint="default" w:ascii="Times New Roman" w:hAnsi="Times New Roman" w:cs="Times New Roman"/>
                <w:highlight w:val="none"/>
              </w:rPr>
              <w:t>图2.1-1 项目地理位置图</w:t>
            </w:r>
          </w:p>
          <w:p>
            <w:pPr>
              <w:adjustRightInd w:val="0"/>
              <w:snapToGrid w:val="0"/>
              <w:spacing w:line="360" w:lineRule="auto"/>
              <w:ind w:firstLine="480" w:firstLineChars="200"/>
              <w:rPr>
                <w:rFonts w:hint="default" w:eastAsia="宋体"/>
                <w:sz w:val="24"/>
                <w:lang w:val="en-US" w:eastAsia="zh-CN"/>
              </w:rPr>
            </w:pPr>
            <w:r>
              <w:rPr>
                <w:rFonts w:hint="eastAsia" w:eastAsiaTheme="majorEastAsia"/>
                <w:sz w:val="24"/>
              </w:rPr>
              <w:t>本项目位于</w:t>
            </w:r>
            <w:r>
              <w:rPr>
                <w:rFonts w:hint="eastAsia" w:eastAsiaTheme="majorEastAsia"/>
                <w:sz w:val="24"/>
                <w:lang w:eastAsia="zh-CN"/>
              </w:rPr>
              <w:t>宁波市海曙区古林镇蜃蛟村虞闻桥</w:t>
            </w:r>
            <w:r>
              <w:rPr>
                <w:rFonts w:hint="eastAsia" w:eastAsiaTheme="majorEastAsia"/>
                <w:sz w:val="24"/>
                <w:lang w:val="en-US" w:eastAsia="zh-CN"/>
              </w:rPr>
              <w:t>2号</w:t>
            </w:r>
            <w:r>
              <w:rPr>
                <w:rFonts w:hint="eastAsia" w:eastAsiaTheme="majorEastAsia"/>
                <w:sz w:val="24"/>
              </w:rPr>
              <w:t>，</w:t>
            </w:r>
            <w:r>
              <w:rPr>
                <w:rFonts w:hint="eastAsia" w:eastAsiaTheme="majorEastAsia"/>
                <w:sz w:val="24"/>
                <w:lang w:eastAsia="zh-CN"/>
              </w:rPr>
              <w:t>经营场所向宁波市鄞州明升工艺品厂租赁，</w:t>
            </w:r>
            <w:r>
              <w:rPr>
                <w:rFonts w:hint="eastAsia" w:eastAsiaTheme="majorEastAsia"/>
                <w:sz w:val="24"/>
                <w:lang w:val="en-US" w:eastAsia="zh-CN"/>
              </w:rPr>
              <w:t>附近无敏感区域。</w:t>
            </w:r>
          </w:p>
          <w:p>
            <w:pPr>
              <w:pStyle w:val="5"/>
            </w:pPr>
            <w:bookmarkStart w:id="32" w:name="_Toc13459"/>
            <w:bookmarkStart w:id="33" w:name="_Toc12286067"/>
            <w:bookmarkStart w:id="34" w:name="_Toc30282"/>
            <w:r>
              <w:rPr>
                <w:rFonts w:hint="eastAsia"/>
              </w:rPr>
              <w:t>建设内容与规模</w:t>
            </w:r>
            <w:bookmarkEnd w:id="32"/>
            <w:bookmarkEnd w:id="33"/>
            <w:bookmarkEnd w:id="34"/>
          </w:p>
          <w:p>
            <w:pPr>
              <w:pStyle w:val="4"/>
              <w:rPr>
                <w:rFonts w:hint="eastAsia"/>
                <w:lang w:eastAsia="zh-CN"/>
              </w:rPr>
            </w:pPr>
            <w:r>
              <w:rPr>
                <w:rFonts w:hint="eastAsia"/>
                <w:lang w:val="en-US" w:eastAsia="zh-CN"/>
              </w:rPr>
              <w:t>宁波市海曙古林宏通印花厂（普通合伙）选址</w:t>
            </w:r>
            <w:r>
              <w:rPr>
                <w:rFonts w:hint="eastAsia"/>
                <w:sz w:val="24"/>
                <w:lang w:eastAsia="zh-CN"/>
              </w:rPr>
              <w:t>宁波市海曙区古林镇蜃蛟村</w:t>
            </w:r>
            <w:r>
              <w:rPr>
                <w:rFonts w:hint="eastAsia" w:eastAsiaTheme="majorEastAsia"/>
                <w:sz w:val="24"/>
                <w:lang w:eastAsia="zh-CN"/>
              </w:rPr>
              <w:t>虞闻桥</w:t>
            </w:r>
            <w:r>
              <w:rPr>
                <w:rFonts w:hint="eastAsia" w:eastAsiaTheme="majorEastAsia"/>
                <w:sz w:val="24"/>
                <w:lang w:val="en-US" w:eastAsia="zh-CN"/>
              </w:rPr>
              <w:t>2号</w:t>
            </w:r>
            <w:r>
              <w:rPr>
                <w:rFonts w:hint="eastAsia"/>
                <w:lang w:val="en-US" w:eastAsia="zh-CN"/>
              </w:rPr>
              <w:t>，本项目总投资15万元，总占地面积600平方米，建筑面积600平方米，主要从事衣片印花生产项目，预计年加工量50万片，年产值可达100万元。</w:t>
            </w:r>
            <w:r>
              <w:t>项目验收时生产规模如下</w:t>
            </w:r>
            <w:r>
              <w:rPr>
                <w:rFonts w:hint="eastAsia"/>
                <w:lang w:eastAsia="zh-CN"/>
              </w:rPr>
              <w:t>：</w:t>
            </w:r>
          </w:p>
          <w:p>
            <w:pPr>
              <w:pStyle w:val="15"/>
              <w:rPr>
                <w:rFonts w:hint="default" w:ascii="Times New Roman" w:hAnsi="Times New Roman" w:cs="Times New Roman"/>
              </w:rPr>
            </w:pPr>
            <w:bookmarkStart w:id="35" w:name="_Toc318733084"/>
            <w:r>
              <w:rPr>
                <w:rFonts w:hint="default" w:ascii="Times New Roman" w:hAnsi="Times New Roman" w:cs="Times New Roman"/>
              </w:rPr>
              <w:t>表2.2-1 项目产品方案及生产规模</w:t>
            </w:r>
            <w:bookmarkEnd w:id="35"/>
            <w:r>
              <w:rPr>
                <w:rFonts w:hint="default" w:ascii="Times New Roman" w:hAnsi="Times New Roman" w:cs="Times New Roman"/>
              </w:rPr>
              <w:t>一览表</w:t>
            </w:r>
          </w:p>
          <w:tbl>
            <w:tblPr>
              <w:tblStyle w:val="37"/>
              <w:tblW w:w="385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8"/>
              <w:gridCol w:w="2656"/>
              <w:gridCol w:w="1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1591" w:type="pct"/>
                  <w:tcBorders>
                    <w:left w:val="nil"/>
                  </w:tcBorders>
                  <w:shd w:val="clear" w:color="auto" w:fill="auto"/>
                  <w:vAlign w:val="center"/>
                </w:tcPr>
                <w:p>
                  <w:pPr>
                    <w:pStyle w:val="83"/>
                    <w:jc w:val="center"/>
                  </w:pPr>
                  <w:r>
                    <w:rPr>
                      <w:rFonts w:hint="eastAsia"/>
                      <w:lang w:eastAsia="zh-CN"/>
                    </w:rPr>
                    <w:t>产品</w:t>
                  </w:r>
                  <w:r>
                    <w:rPr>
                      <w:rFonts w:hint="eastAsia"/>
                    </w:rPr>
                    <w:t>种类</w:t>
                  </w:r>
                </w:p>
              </w:tc>
              <w:tc>
                <w:tcPr>
                  <w:tcW w:w="1977" w:type="pct"/>
                  <w:tcBorders>
                    <w:bottom w:val="single" w:color="auto" w:sz="12" w:space="0"/>
                  </w:tcBorders>
                  <w:shd w:val="clear" w:color="auto" w:fill="auto"/>
                  <w:vAlign w:val="center"/>
                </w:tcPr>
                <w:p>
                  <w:pPr>
                    <w:pStyle w:val="83"/>
                  </w:pPr>
                  <w:r>
                    <w:rPr>
                      <w:rFonts w:hint="eastAsia"/>
                      <w:lang w:val="en-US" w:eastAsia="zh-CN"/>
                    </w:rPr>
                    <w:t>数量</w:t>
                  </w:r>
                  <w:r>
                    <w:rPr>
                      <w:rFonts w:hint="eastAsia"/>
                    </w:rPr>
                    <w:t>（</w:t>
                  </w:r>
                  <w:r>
                    <w:rPr>
                      <w:rFonts w:hint="eastAsia"/>
                      <w:lang w:val="en-US" w:eastAsia="zh-CN"/>
                    </w:rPr>
                    <w:t>万片/年</w:t>
                  </w:r>
                  <w:r>
                    <w:rPr>
                      <w:rFonts w:hint="eastAsia"/>
                    </w:rPr>
                    <w:t>）</w:t>
                  </w:r>
                </w:p>
              </w:tc>
              <w:tc>
                <w:tcPr>
                  <w:tcW w:w="1430" w:type="pct"/>
                  <w:tcBorders>
                    <w:right w:val="nil"/>
                  </w:tcBorders>
                  <w:shd w:val="clear" w:color="auto" w:fill="auto"/>
                  <w:vAlign w:val="center"/>
                </w:tcPr>
                <w:p>
                  <w:pPr>
                    <w:pStyle w:val="83"/>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591" w:type="pct"/>
                  <w:tcBorders>
                    <w:top w:val="single" w:color="auto" w:sz="12" w:space="0"/>
                    <w:left w:val="nil"/>
                    <w:bottom w:val="single" w:color="auto" w:sz="12" w:space="0"/>
                  </w:tcBorders>
                  <w:shd w:val="clear" w:color="auto" w:fill="auto"/>
                  <w:vAlign w:val="center"/>
                </w:tcPr>
                <w:p>
                  <w:pPr>
                    <w:pStyle w:val="83"/>
                    <w:rPr>
                      <w:rFonts w:hint="default" w:eastAsia="宋体"/>
                      <w:lang w:val="en-US" w:eastAsia="zh-CN"/>
                    </w:rPr>
                  </w:pPr>
                  <w:r>
                    <w:rPr>
                      <w:rFonts w:hint="eastAsia"/>
                      <w:lang w:val="en-US" w:eastAsia="zh-CN"/>
                    </w:rPr>
                    <w:t>衣片印花加工</w:t>
                  </w:r>
                </w:p>
              </w:tc>
              <w:tc>
                <w:tcPr>
                  <w:tcW w:w="1977" w:type="pct"/>
                  <w:tcBorders>
                    <w:top w:val="single" w:color="auto" w:sz="12" w:space="0"/>
                    <w:bottom w:val="single" w:color="auto" w:sz="12" w:space="0"/>
                  </w:tcBorders>
                  <w:shd w:val="clear" w:color="auto" w:fill="auto"/>
                  <w:vAlign w:val="center"/>
                </w:tcPr>
                <w:p>
                  <w:pPr>
                    <w:pStyle w:val="83"/>
                    <w:rPr>
                      <w:rFonts w:hint="default" w:eastAsia="宋体"/>
                      <w:lang w:val="en-US" w:eastAsia="zh-CN"/>
                    </w:rPr>
                  </w:pPr>
                  <w:r>
                    <w:rPr>
                      <w:rFonts w:hint="eastAsia"/>
                      <w:lang w:val="en-US" w:eastAsia="zh-CN"/>
                    </w:rPr>
                    <w:t>50</w:t>
                  </w:r>
                </w:p>
              </w:tc>
              <w:tc>
                <w:tcPr>
                  <w:tcW w:w="1430" w:type="pct"/>
                  <w:tcBorders>
                    <w:top w:val="single" w:color="auto" w:sz="12" w:space="0"/>
                    <w:bottom w:val="single" w:color="auto" w:sz="12" w:space="0"/>
                    <w:right w:val="nil"/>
                  </w:tcBorders>
                  <w:shd w:val="clear" w:color="auto" w:fill="auto"/>
                  <w:vAlign w:val="center"/>
                </w:tcPr>
                <w:p>
                  <w:pPr>
                    <w:pStyle w:val="83"/>
                    <w:rPr>
                      <w:rFonts w:hint="eastAsia" w:eastAsia="宋体"/>
                      <w:lang w:val="en-US" w:eastAsia="zh-CN"/>
                    </w:rPr>
                  </w:pPr>
                  <w:r>
                    <w:rPr>
                      <w:rFonts w:hint="eastAsia"/>
                      <w:lang w:val="en-US" w:eastAsia="zh-CN"/>
                    </w:rPr>
                    <w:t>/</w:t>
                  </w:r>
                </w:p>
              </w:tc>
            </w:tr>
          </w:tbl>
          <w:p>
            <w:pPr>
              <w:pStyle w:val="4"/>
              <w:ind w:left="0" w:leftChars="0" w:firstLine="0" w:firstLineChars="0"/>
              <w:rPr>
                <w:rFonts w:hint="eastAsia"/>
              </w:rPr>
            </w:pPr>
            <w:bookmarkStart w:id="36" w:name="_Toc778"/>
          </w:p>
          <w:p>
            <w:pPr>
              <w:pStyle w:val="4"/>
              <w:ind w:left="0" w:leftChars="0" w:firstLine="0" w:firstLineChars="0"/>
              <w:rPr>
                <w:rFonts w:hint="eastAsia"/>
              </w:rPr>
            </w:pPr>
          </w:p>
          <w:p>
            <w:pPr>
              <w:pStyle w:val="6"/>
              <w:bidi w:val="0"/>
            </w:pPr>
            <w:bookmarkStart w:id="37" w:name="_Toc9015"/>
            <w:bookmarkStart w:id="38" w:name="_Toc21167"/>
            <w:bookmarkStart w:id="39" w:name="_Toc10024"/>
            <w:bookmarkStart w:id="40" w:name="_Toc16887"/>
            <w:r>
              <w:rPr>
                <w:rFonts w:hint="eastAsia"/>
              </w:rPr>
              <w:t>主要生产设备</w:t>
            </w:r>
            <w:bookmarkEnd w:id="36"/>
            <w:bookmarkEnd w:id="37"/>
            <w:bookmarkEnd w:id="38"/>
            <w:bookmarkEnd w:id="39"/>
            <w:bookmarkEnd w:id="40"/>
          </w:p>
          <w:p>
            <w:pPr>
              <w:pStyle w:val="4"/>
            </w:pPr>
            <w:r>
              <w:rPr>
                <w:rFonts w:hint="eastAsia"/>
              </w:rPr>
              <w:t>本项目验收时主要设备如下：</w:t>
            </w:r>
          </w:p>
          <w:p>
            <w:pPr>
              <w:pStyle w:val="15"/>
              <w:rPr>
                <w:rFonts w:hint="eastAsia" w:ascii="Times New Roman" w:hAnsi="Times New Roman" w:cs="Times New Roman" w:eastAsiaTheme="majorEastAsia"/>
                <w:lang w:eastAsia="zh-CN"/>
              </w:rPr>
            </w:pPr>
            <w:r>
              <w:rPr>
                <w:rFonts w:hint="default" w:ascii="Times New Roman" w:hAnsi="Times New Roman" w:cs="Times New Roman"/>
              </w:rPr>
              <w:t xml:space="preserve">表2.2-2 </w:t>
            </w:r>
            <w:r>
              <w:rPr>
                <w:rFonts w:hint="eastAsia" w:ascii="Times New Roman" w:hAnsi="Times New Roman" w:cs="Times New Roman"/>
                <w:lang w:eastAsia="zh-CN"/>
              </w:rPr>
              <w:t>本项目</w:t>
            </w:r>
            <w:r>
              <w:rPr>
                <w:rFonts w:hint="default" w:ascii="Times New Roman" w:hAnsi="Times New Roman" w:cs="Times New Roman"/>
              </w:rPr>
              <w:t>主要设备</w:t>
            </w:r>
            <w:r>
              <w:rPr>
                <w:rFonts w:hint="eastAsia" w:ascii="Times New Roman" w:hAnsi="Times New Roman" w:cs="Times New Roman"/>
                <w:lang w:val="en-US" w:eastAsia="zh-CN"/>
              </w:rPr>
              <w:t>清单</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38"/>
              <w:gridCol w:w="2650"/>
              <w:gridCol w:w="1541"/>
              <w:gridCol w:w="1316"/>
              <w:gridCol w:w="20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2" w:type="pct"/>
                  <w:vAlign w:val="center"/>
                </w:tcPr>
                <w:p>
                  <w:pPr>
                    <w:jc w:val="center"/>
                    <w:rPr>
                      <w:szCs w:val="21"/>
                    </w:rPr>
                  </w:pPr>
                  <w:r>
                    <w:rPr>
                      <w:szCs w:val="21"/>
                    </w:rPr>
                    <w:t>序号</w:t>
                  </w:r>
                </w:p>
              </w:tc>
              <w:tc>
                <w:tcPr>
                  <w:tcW w:w="1518" w:type="pct"/>
                  <w:vAlign w:val="center"/>
                </w:tcPr>
                <w:p>
                  <w:pPr>
                    <w:jc w:val="center"/>
                    <w:rPr>
                      <w:szCs w:val="21"/>
                    </w:rPr>
                  </w:pPr>
                  <w:r>
                    <w:rPr>
                      <w:szCs w:val="21"/>
                    </w:rPr>
                    <w:t>名称</w:t>
                  </w:r>
                </w:p>
              </w:tc>
              <w:tc>
                <w:tcPr>
                  <w:tcW w:w="883" w:type="pct"/>
                </w:tcPr>
                <w:p>
                  <w:pPr>
                    <w:jc w:val="center"/>
                    <w:rPr>
                      <w:szCs w:val="21"/>
                    </w:rPr>
                  </w:pPr>
                  <w:r>
                    <w:rPr>
                      <w:rFonts w:hint="eastAsia"/>
                      <w:szCs w:val="21"/>
                    </w:rPr>
                    <w:t>环评数量</w:t>
                  </w:r>
                </w:p>
              </w:tc>
              <w:tc>
                <w:tcPr>
                  <w:tcW w:w="754" w:type="pct"/>
                  <w:vAlign w:val="center"/>
                </w:tcPr>
                <w:p>
                  <w:pPr>
                    <w:jc w:val="center"/>
                    <w:rPr>
                      <w:szCs w:val="21"/>
                    </w:rPr>
                  </w:pPr>
                  <w:r>
                    <w:rPr>
                      <w:rFonts w:hint="eastAsia"/>
                      <w:szCs w:val="21"/>
                    </w:rPr>
                    <w:t>实际数量</w:t>
                  </w:r>
                </w:p>
              </w:tc>
              <w:tc>
                <w:tcPr>
                  <w:tcW w:w="1191" w:type="pct"/>
                  <w:vAlign w:val="center"/>
                </w:tcPr>
                <w:p>
                  <w:pPr>
                    <w:jc w:val="center"/>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2" w:type="pct"/>
                  <w:vAlign w:val="center"/>
                </w:tcPr>
                <w:p>
                  <w:pPr>
                    <w:spacing w:before="60"/>
                    <w:jc w:val="center"/>
                    <w:rPr>
                      <w:szCs w:val="21"/>
                    </w:rPr>
                  </w:pPr>
                  <w:r>
                    <w:rPr>
                      <w:szCs w:val="21"/>
                    </w:rPr>
                    <w:t>1</w:t>
                  </w:r>
                </w:p>
              </w:tc>
              <w:tc>
                <w:tcPr>
                  <w:tcW w:w="1518" w:type="pct"/>
                  <w:vAlign w:val="center"/>
                </w:tcPr>
                <w:p>
                  <w:pPr>
                    <w:spacing w:before="60"/>
                    <w:jc w:val="center"/>
                    <w:rPr>
                      <w:rFonts w:hint="default" w:eastAsia="宋体"/>
                      <w:szCs w:val="21"/>
                      <w:lang w:val="en-US" w:eastAsia="zh-CN"/>
                    </w:rPr>
                  </w:pPr>
                  <w:r>
                    <w:rPr>
                      <w:rFonts w:hint="eastAsia"/>
                      <w:szCs w:val="21"/>
                      <w:lang w:val="en-US" w:eastAsia="zh-CN"/>
                    </w:rPr>
                    <w:t>印花台板</w:t>
                  </w:r>
                </w:p>
              </w:tc>
              <w:tc>
                <w:tcPr>
                  <w:tcW w:w="883" w:type="pct"/>
                  <w:vAlign w:val="center"/>
                </w:tcPr>
                <w:p>
                  <w:pPr>
                    <w:spacing w:before="60"/>
                    <w:jc w:val="center"/>
                    <w:rPr>
                      <w:rFonts w:hint="default" w:eastAsia="宋体"/>
                      <w:szCs w:val="21"/>
                      <w:lang w:val="en-US" w:eastAsia="zh-CN"/>
                    </w:rPr>
                  </w:pPr>
                  <w:r>
                    <w:rPr>
                      <w:rFonts w:hint="eastAsia"/>
                      <w:szCs w:val="21"/>
                      <w:lang w:val="en-US" w:eastAsia="zh-CN"/>
                    </w:rPr>
                    <w:t>5条</w:t>
                  </w:r>
                </w:p>
              </w:tc>
              <w:tc>
                <w:tcPr>
                  <w:tcW w:w="754" w:type="pct"/>
                  <w:vAlign w:val="center"/>
                </w:tcPr>
                <w:p>
                  <w:pPr>
                    <w:spacing w:before="60"/>
                    <w:jc w:val="center"/>
                    <w:rPr>
                      <w:rFonts w:ascii="Times New Roman" w:hAnsi="Times New Roman" w:eastAsia="宋体" w:cs="Times New Roman"/>
                      <w:kern w:val="2"/>
                      <w:sz w:val="21"/>
                      <w:szCs w:val="21"/>
                      <w:lang w:val="en-US" w:eastAsia="zh-CN" w:bidi="ar-SA"/>
                    </w:rPr>
                  </w:pPr>
                  <w:r>
                    <w:rPr>
                      <w:rFonts w:hint="eastAsia"/>
                      <w:szCs w:val="21"/>
                      <w:lang w:val="en-US" w:eastAsia="zh-CN"/>
                    </w:rPr>
                    <w:t>5条</w:t>
                  </w:r>
                </w:p>
              </w:tc>
              <w:tc>
                <w:tcPr>
                  <w:tcW w:w="1191" w:type="pct"/>
                  <w:vAlign w:val="center"/>
                </w:tcPr>
                <w:p>
                  <w:pPr>
                    <w:jc w:val="center"/>
                    <w:rPr>
                      <w:rFonts w:hint="default" w:eastAsia="宋体"/>
                      <w:color w:val="000000"/>
                      <w:szCs w:val="21"/>
                      <w:lang w:val="en-US" w:eastAsia="zh-CN"/>
                    </w:rPr>
                  </w:pPr>
                  <w:r>
                    <w:rPr>
                      <w:rFonts w:hint="eastAsia"/>
                      <w:color w:val="000000"/>
                      <w:szCs w:val="21"/>
                      <w:lang w:val="en-US" w:eastAsia="zh-CN"/>
                    </w:rPr>
                    <w:t>20米×1.2米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2" w:type="pct"/>
                  <w:vAlign w:val="center"/>
                </w:tcPr>
                <w:p>
                  <w:pPr>
                    <w:spacing w:before="60"/>
                    <w:jc w:val="center"/>
                    <w:rPr>
                      <w:rFonts w:hint="default"/>
                      <w:szCs w:val="21"/>
                      <w:lang w:val="en-US" w:eastAsia="zh-CN"/>
                    </w:rPr>
                  </w:pPr>
                  <w:bookmarkStart w:id="41" w:name="_Toc30590"/>
                  <w:r>
                    <w:rPr>
                      <w:rFonts w:hint="eastAsia"/>
                      <w:szCs w:val="21"/>
                      <w:lang w:val="en-US" w:eastAsia="zh-CN"/>
                    </w:rPr>
                    <w:t>2</w:t>
                  </w:r>
                </w:p>
              </w:tc>
              <w:tc>
                <w:tcPr>
                  <w:tcW w:w="1518" w:type="pct"/>
                  <w:vAlign w:val="center"/>
                </w:tcPr>
                <w:p>
                  <w:pPr>
                    <w:spacing w:before="60"/>
                    <w:jc w:val="center"/>
                    <w:rPr>
                      <w:rFonts w:hint="eastAsia"/>
                      <w:szCs w:val="21"/>
                      <w:lang w:val="en-US" w:eastAsia="zh-CN"/>
                    </w:rPr>
                  </w:pPr>
                  <w:r>
                    <w:rPr>
                      <w:rFonts w:hint="eastAsia"/>
                      <w:szCs w:val="21"/>
                      <w:lang w:val="en-US" w:eastAsia="zh-CN"/>
                    </w:rPr>
                    <w:t>印花台板</w:t>
                  </w:r>
                </w:p>
              </w:tc>
              <w:tc>
                <w:tcPr>
                  <w:tcW w:w="883" w:type="pct"/>
                  <w:vAlign w:val="center"/>
                </w:tcPr>
                <w:p>
                  <w:pPr>
                    <w:spacing w:before="60"/>
                    <w:jc w:val="center"/>
                    <w:rPr>
                      <w:rFonts w:hint="eastAsia"/>
                      <w:szCs w:val="21"/>
                      <w:lang w:val="en-US" w:eastAsia="zh-CN"/>
                    </w:rPr>
                  </w:pPr>
                  <w:r>
                    <w:rPr>
                      <w:rFonts w:hint="eastAsia"/>
                      <w:szCs w:val="21"/>
                      <w:lang w:val="en-US" w:eastAsia="zh-CN"/>
                    </w:rPr>
                    <w:t>1条</w:t>
                  </w:r>
                </w:p>
              </w:tc>
              <w:tc>
                <w:tcPr>
                  <w:tcW w:w="754" w:type="pct"/>
                  <w:vAlign w:val="center"/>
                </w:tcPr>
                <w:p>
                  <w:pPr>
                    <w:spacing w:before="60"/>
                    <w:jc w:val="center"/>
                    <w:rPr>
                      <w:rFonts w:hint="eastAsia"/>
                      <w:szCs w:val="21"/>
                      <w:lang w:val="en-US" w:eastAsia="zh-CN"/>
                    </w:rPr>
                  </w:pPr>
                  <w:r>
                    <w:rPr>
                      <w:rFonts w:hint="eastAsia"/>
                      <w:szCs w:val="21"/>
                      <w:lang w:val="en-US" w:eastAsia="zh-CN"/>
                    </w:rPr>
                    <w:t>1条</w:t>
                  </w:r>
                </w:p>
              </w:tc>
              <w:tc>
                <w:tcPr>
                  <w:tcW w:w="1191" w:type="pct"/>
                  <w:vAlign w:val="center"/>
                </w:tcPr>
                <w:p>
                  <w:pPr>
                    <w:jc w:val="center"/>
                    <w:rPr>
                      <w:rFonts w:hint="eastAsia"/>
                      <w:color w:val="000000"/>
                      <w:szCs w:val="21"/>
                      <w:lang w:val="en-US" w:eastAsia="zh-CN"/>
                    </w:rPr>
                  </w:pPr>
                  <w:r>
                    <w:rPr>
                      <w:rFonts w:hint="eastAsia"/>
                      <w:color w:val="000000"/>
                      <w:szCs w:val="21"/>
                      <w:lang w:val="en-US" w:eastAsia="zh-CN"/>
                    </w:rPr>
                    <w:t>5米×1.2米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2" w:type="pct"/>
                  <w:vAlign w:val="center"/>
                </w:tcPr>
                <w:p>
                  <w:pPr>
                    <w:spacing w:before="60"/>
                    <w:jc w:val="center"/>
                    <w:rPr>
                      <w:rFonts w:hint="eastAsia" w:eastAsia="宋体"/>
                      <w:szCs w:val="21"/>
                      <w:lang w:val="en-US" w:eastAsia="zh-CN"/>
                    </w:rPr>
                  </w:pPr>
                  <w:r>
                    <w:rPr>
                      <w:rFonts w:hint="eastAsia"/>
                      <w:szCs w:val="21"/>
                      <w:lang w:val="en-US" w:eastAsia="zh-CN"/>
                    </w:rPr>
                    <w:t>3</w:t>
                  </w:r>
                </w:p>
              </w:tc>
              <w:tc>
                <w:tcPr>
                  <w:tcW w:w="1518" w:type="pct"/>
                  <w:vAlign w:val="center"/>
                </w:tcPr>
                <w:p>
                  <w:pPr>
                    <w:spacing w:before="60"/>
                    <w:jc w:val="center"/>
                    <w:rPr>
                      <w:rFonts w:hint="eastAsia"/>
                      <w:szCs w:val="21"/>
                      <w:lang w:val="en-US" w:eastAsia="zh-CN"/>
                    </w:rPr>
                  </w:pPr>
                  <w:r>
                    <w:rPr>
                      <w:rFonts w:hint="eastAsia"/>
                      <w:szCs w:val="21"/>
                      <w:lang w:val="en-US" w:eastAsia="zh-CN"/>
                    </w:rPr>
                    <w:t>压烫机</w:t>
                  </w:r>
                </w:p>
              </w:tc>
              <w:tc>
                <w:tcPr>
                  <w:tcW w:w="883" w:type="pct"/>
                  <w:vAlign w:val="center"/>
                </w:tcPr>
                <w:p>
                  <w:pPr>
                    <w:spacing w:before="60"/>
                    <w:jc w:val="center"/>
                    <w:rPr>
                      <w:rFonts w:hint="default"/>
                      <w:szCs w:val="21"/>
                      <w:lang w:val="en-US" w:eastAsia="zh-CN"/>
                    </w:rPr>
                  </w:pPr>
                  <w:r>
                    <w:rPr>
                      <w:rFonts w:hint="eastAsia"/>
                      <w:szCs w:val="21"/>
                      <w:lang w:val="en-US" w:eastAsia="zh-CN"/>
                    </w:rPr>
                    <w:t>3台</w:t>
                  </w:r>
                </w:p>
              </w:tc>
              <w:tc>
                <w:tcPr>
                  <w:tcW w:w="754" w:type="pct"/>
                  <w:vAlign w:val="center"/>
                </w:tcPr>
                <w:p>
                  <w:pPr>
                    <w:spacing w:before="60"/>
                    <w:jc w:val="center"/>
                    <w:rPr>
                      <w:rFonts w:hint="eastAsia"/>
                      <w:szCs w:val="21"/>
                      <w:lang w:val="en-US" w:eastAsia="zh-CN"/>
                    </w:rPr>
                  </w:pPr>
                  <w:r>
                    <w:rPr>
                      <w:rFonts w:hint="eastAsia"/>
                      <w:szCs w:val="21"/>
                      <w:lang w:val="en-US" w:eastAsia="zh-CN"/>
                    </w:rPr>
                    <w:t>3台</w:t>
                  </w:r>
                </w:p>
              </w:tc>
              <w:tc>
                <w:tcPr>
                  <w:tcW w:w="1191" w:type="pct"/>
                  <w:vAlign w:val="center"/>
                </w:tcPr>
                <w:p>
                  <w:pPr>
                    <w:jc w:val="center"/>
                    <w:rPr>
                      <w:rFonts w:hint="default"/>
                      <w:color w:val="000000"/>
                      <w:szCs w:val="21"/>
                      <w:lang w:val="en-US" w:eastAsia="zh-CN"/>
                    </w:rPr>
                  </w:pPr>
                  <w:r>
                    <w:rPr>
                      <w:rFonts w:hint="eastAsia"/>
                      <w:color w:val="00000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2" w:type="pct"/>
                  <w:vAlign w:val="center"/>
                </w:tcPr>
                <w:p>
                  <w:pPr>
                    <w:spacing w:before="60"/>
                    <w:jc w:val="center"/>
                    <w:rPr>
                      <w:rFonts w:hint="eastAsia" w:eastAsia="宋体"/>
                      <w:szCs w:val="21"/>
                      <w:lang w:val="en-US" w:eastAsia="zh-CN"/>
                    </w:rPr>
                  </w:pPr>
                  <w:r>
                    <w:rPr>
                      <w:rFonts w:hint="eastAsia"/>
                      <w:szCs w:val="21"/>
                      <w:lang w:val="en-US" w:eastAsia="zh-CN"/>
                    </w:rPr>
                    <w:t>4</w:t>
                  </w:r>
                </w:p>
              </w:tc>
              <w:tc>
                <w:tcPr>
                  <w:tcW w:w="1518" w:type="pct"/>
                  <w:vAlign w:val="center"/>
                </w:tcPr>
                <w:p>
                  <w:pPr>
                    <w:spacing w:before="60"/>
                    <w:jc w:val="center"/>
                    <w:rPr>
                      <w:rFonts w:hint="eastAsia"/>
                      <w:szCs w:val="21"/>
                      <w:lang w:val="en-US" w:eastAsia="zh-CN"/>
                    </w:rPr>
                  </w:pPr>
                  <w:r>
                    <w:rPr>
                      <w:rFonts w:hint="eastAsia"/>
                      <w:szCs w:val="21"/>
                      <w:lang w:val="en-US" w:eastAsia="zh-CN"/>
                    </w:rPr>
                    <w:t>印花网版、刮刀</w:t>
                  </w:r>
                </w:p>
              </w:tc>
              <w:tc>
                <w:tcPr>
                  <w:tcW w:w="883" w:type="pct"/>
                  <w:vAlign w:val="center"/>
                </w:tcPr>
                <w:p>
                  <w:pPr>
                    <w:spacing w:before="60"/>
                    <w:jc w:val="center"/>
                    <w:rPr>
                      <w:rFonts w:hint="eastAsia"/>
                      <w:szCs w:val="21"/>
                      <w:lang w:val="en-US" w:eastAsia="zh-CN"/>
                    </w:rPr>
                  </w:pPr>
                  <w:r>
                    <w:rPr>
                      <w:rFonts w:hint="eastAsia"/>
                      <w:szCs w:val="21"/>
                      <w:lang w:val="en-US" w:eastAsia="zh-CN"/>
                    </w:rPr>
                    <w:t>若干</w:t>
                  </w:r>
                </w:p>
              </w:tc>
              <w:tc>
                <w:tcPr>
                  <w:tcW w:w="754" w:type="pct"/>
                  <w:vAlign w:val="center"/>
                </w:tcPr>
                <w:p>
                  <w:pPr>
                    <w:spacing w:before="60"/>
                    <w:jc w:val="center"/>
                    <w:rPr>
                      <w:rFonts w:hint="default"/>
                      <w:szCs w:val="21"/>
                      <w:lang w:val="en-US" w:eastAsia="zh-CN"/>
                    </w:rPr>
                  </w:pPr>
                  <w:r>
                    <w:rPr>
                      <w:rFonts w:hint="eastAsia"/>
                      <w:szCs w:val="21"/>
                      <w:lang w:val="en-US" w:eastAsia="zh-CN"/>
                    </w:rPr>
                    <w:t>21</w:t>
                  </w:r>
                </w:p>
              </w:tc>
              <w:tc>
                <w:tcPr>
                  <w:tcW w:w="1191" w:type="pct"/>
                  <w:vAlign w:val="center"/>
                </w:tcPr>
                <w:p>
                  <w:pPr>
                    <w:jc w:val="center"/>
                    <w:rPr>
                      <w:rFonts w:hint="default"/>
                      <w:color w:val="000000"/>
                      <w:szCs w:val="21"/>
                      <w:lang w:val="en-US" w:eastAsia="zh-CN"/>
                    </w:rPr>
                  </w:pPr>
                  <w:r>
                    <w:rPr>
                      <w:rFonts w:hint="eastAsia"/>
                      <w:color w:val="000000"/>
                      <w:szCs w:val="21"/>
                      <w:lang w:val="en-US" w:eastAsia="zh-CN"/>
                    </w:rPr>
                    <w:t>/</w:t>
                  </w:r>
                </w:p>
              </w:tc>
            </w:tr>
          </w:tbl>
          <w:p>
            <w:pPr>
              <w:pStyle w:val="6"/>
              <w:rPr>
                <w:rFonts w:hint="eastAsia"/>
              </w:rPr>
            </w:pPr>
          </w:p>
          <w:p>
            <w:pPr>
              <w:pStyle w:val="6"/>
            </w:pPr>
            <w:bookmarkStart w:id="42" w:name="_Toc19241"/>
            <w:bookmarkStart w:id="43" w:name="_Toc3071"/>
            <w:bookmarkStart w:id="44" w:name="_Toc23283"/>
            <w:bookmarkStart w:id="45" w:name="_Toc20949"/>
            <w:r>
              <w:rPr>
                <w:rFonts w:hint="eastAsia"/>
              </w:rPr>
              <w:t>原辅材料消耗</w:t>
            </w:r>
            <w:bookmarkEnd w:id="41"/>
            <w:bookmarkEnd w:id="42"/>
            <w:bookmarkEnd w:id="43"/>
            <w:bookmarkEnd w:id="44"/>
            <w:bookmarkEnd w:id="45"/>
          </w:p>
          <w:p>
            <w:pPr>
              <w:pStyle w:val="4"/>
              <w:rPr>
                <w:rFonts w:hint="eastAsia"/>
              </w:rPr>
            </w:pPr>
            <w:r>
              <w:rPr>
                <w:rFonts w:hint="eastAsia"/>
              </w:rPr>
              <w:t>本项目验收时主要原辅材料消耗量，详见表2.2-3。</w:t>
            </w:r>
          </w:p>
          <w:p>
            <w:pPr>
              <w:pStyle w:val="15"/>
              <w:rPr>
                <w:rFonts w:hint="default" w:ascii="Times New Roman" w:hAnsi="Times New Roman" w:cs="Times New Roman"/>
              </w:rPr>
            </w:pPr>
            <w:r>
              <w:rPr>
                <w:rFonts w:hint="default" w:ascii="Times New Roman" w:hAnsi="Times New Roman" w:cs="Times New Roman"/>
              </w:rPr>
              <w:t>表2.2-3 主要原辅材料消耗量</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14"/>
              <w:gridCol w:w="1509"/>
              <w:gridCol w:w="805"/>
              <w:gridCol w:w="2410"/>
              <w:gridCol w:w="1970"/>
              <w:gridCol w:w="15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294" w:type="pct"/>
                  <w:vAlign w:val="center"/>
                </w:tcPr>
                <w:p>
                  <w:pPr>
                    <w:jc w:val="center"/>
                    <w:rPr>
                      <w:szCs w:val="21"/>
                    </w:rPr>
                  </w:pPr>
                  <w:r>
                    <w:rPr>
                      <w:szCs w:val="21"/>
                    </w:rPr>
                    <w:t>序号</w:t>
                  </w:r>
                </w:p>
              </w:tc>
              <w:tc>
                <w:tcPr>
                  <w:tcW w:w="864" w:type="pct"/>
                  <w:vAlign w:val="center"/>
                </w:tcPr>
                <w:p>
                  <w:pPr>
                    <w:jc w:val="center"/>
                    <w:rPr>
                      <w:szCs w:val="21"/>
                    </w:rPr>
                  </w:pPr>
                  <w:r>
                    <w:rPr>
                      <w:szCs w:val="21"/>
                    </w:rPr>
                    <w:t>名称</w:t>
                  </w:r>
                </w:p>
              </w:tc>
              <w:tc>
                <w:tcPr>
                  <w:tcW w:w="461" w:type="pct"/>
                  <w:vAlign w:val="center"/>
                </w:tcPr>
                <w:p>
                  <w:pPr>
                    <w:jc w:val="center"/>
                    <w:rPr>
                      <w:szCs w:val="21"/>
                    </w:rPr>
                  </w:pPr>
                  <w:r>
                    <w:rPr>
                      <w:szCs w:val="21"/>
                    </w:rPr>
                    <w:t>规格</w:t>
                  </w:r>
                </w:p>
              </w:tc>
              <w:tc>
                <w:tcPr>
                  <w:tcW w:w="1380" w:type="pct"/>
                </w:tcPr>
                <w:p>
                  <w:pPr>
                    <w:jc w:val="center"/>
                    <w:rPr>
                      <w:rFonts w:hint="eastAsia" w:eastAsia="宋体"/>
                      <w:szCs w:val="21"/>
                      <w:lang w:eastAsia="zh-CN"/>
                    </w:rPr>
                  </w:pPr>
                  <w:r>
                    <w:rPr>
                      <w:rFonts w:hint="eastAsia"/>
                      <w:szCs w:val="21"/>
                    </w:rPr>
                    <w:t>环评时年用量</w:t>
                  </w:r>
                  <w:r>
                    <w:rPr>
                      <w:rFonts w:hint="eastAsia"/>
                      <w:szCs w:val="21"/>
                      <w:lang w:eastAsia="zh-CN"/>
                    </w:rPr>
                    <w:t>（</w:t>
                  </w:r>
                  <w:r>
                    <w:rPr>
                      <w:rFonts w:hint="eastAsia"/>
                      <w:szCs w:val="21"/>
                      <w:lang w:val="en-US" w:eastAsia="zh-CN"/>
                    </w:rPr>
                    <w:t>t/a</w:t>
                  </w:r>
                  <w:r>
                    <w:rPr>
                      <w:rFonts w:hint="eastAsia"/>
                      <w:szCs w:val="21"/>
                      <w:lang w:eastAsia="zh-CN"/>
                    </w:rPr>
                    <w:t>）</w:t>
                  </w:r>
                </w:p>
              </w:tc>
              <w:tc>
                <w:tcPr>
                  <w:tcW w:w="1128" w:type="pct"/>
                  <w:vAlign w:val="center"/>
                </w:tcPr>
                <w:p>
                  <w:pPr>
                    <w:jc w:val="center"/>
                    <w:rPr>
                      <w:rFonts w:hint="eastAsia" w:eastAsia="宋体"/>
                      <w:szCs w:val="21"/>
                      <w:lang w:val="en-US" w:eastAsia="zh-CN"/>
                    </w:rPr>
                  </w:pPr>
                  <w:r>
                    <w:rPr>
                      <w:rFonts w:hint="eastAsia"/>
                      <w:szCs w:val="21"/>
                    </w:rPr>
                    <w:t>实际</w:t>
                  </w:r>
                  <w:r>
                    <w:rPr>
                      <w:szCs w:val="21"/>
                    </w:rPr>
                    <w:t>年用量</w:t>
                  </w:r>
                  <w:r>
                    <w:rPr>
                      <w:rFonts w:hint="eastAsia"/>
                      <w:szCs w:val="21"/>
                      <w:lang w:eastAsia="zh-CN"/>
                    </w:rPr>
                    <w:t>（</w:t>
                  </w:r>
                  <w:r>
                    <w:rPr>
                      <w:rFonts w:hint="eastAsia"/>
                      <w:szCs w:val="21"/>
                      <w:lang w:val="en-US" w:eastAsia="zh-CN"/>
                    </w:rPr>
                    <w:t>t/a</w:t>
                  </w:r>
                  <w:r>
                    <w:rPr>
                      <w:rFonts w:hint="eastAsia"/>
                      <w:szCs w:val="21"/>
                      <w:lang w:eastAsia="zh-CN"/>
                    </w:rPr>
                    <w:t>）</w:t>
                  </w:r>
                </w:p>
              </w:tc>
              <w:tc>
                <w:tcPr>
                  <w:tcW w:w="871" w:type="pct"/>
                  <w:vAlign w:val="center"/>
                </w:tcPr>
                <w:p>
                  <w:pPr>
                    <w:jc w:val="center"/>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294" w:type="pct"/>
                  <w:vAlign w:val="center"/>
                </w:tcPr>
                <w:p>
                  <w:pPr>
                    <w:spacing w:before="60"/>
                    <w:jc w:val="center"/>
                    <w:rPr>
                      <w:rFonts w:hint="eastAsia" w:eastAsia="宋体"/>
                      <w:color w:val="000000"/>
                      <w:szCs w:val="21"/>
                      <w:lang w:val="en-US" w:eastAsia="zh-CN"/>
                    </w:rPr>
                  </w:pPr>
                  <w:bookmarkStart w:id="46" w:name="_Toc21837"/>
                  <w:r>
                    <w:rPr>
                      <w:rFonts w:hint="eastAsia"/>
                      <w:color w:val="000000"/>
                      <w:szCs w:val="21"/>
                      <w:lang w:val="en-US" w:eastAsia="zh-CN"/>
                    </w:rPr>
                    <w:t>4</w:t>
                  </w:r>
                </w:p>
              </w:tc>
              <w:tc>
                <w:tcPr>
                  <w:tcW w:w="864" w:type="pct"/>
                  <w:vAlign w:val="center"/>
                </w:tcPr>
                <w:p>
                  <w:pPr>
                    <w:spacing w:before="60"/>
                    <w:jc w:val="center"/>
                    <w:rPr>
                      <w:rFonts w:hint="default" w:eastAsia="宋体"/>
                      <w:color w:val="000000"/>
                      <w:szCs w:val="21"/>
                      <w:lang w:val="en-US" w:eastAsia="zh-CN"/>
                    </w:rPr>
                  </w:pPr>
                  <w:r>
                    <w:rPr>
                      <w:rFonts w:hint="eastAsia"/>
                      <w:color w:val="000000"/>
                      <w:szCs w:val="21"/>
                      <w:lang w:val="en-US" w:eastAsia="zh-CN"/>
                    </w:rPr>
                    <w:t>胶浆</w:t>
                  </w:r>
                </w:p>
              </w:tc>
              <w:tc>
                <w:tcPr>
                  <w:tcW w:w="461" w:type="pct"/>
                  <w:vAlign w:val="center"/>
                </w:tcPr>
                <w:p>
                  <w:pPr>
                    <w:jc w:val="center"/>
                    <w:rPr>
                      <w:szCs w:val="21"/>
                    </w:rPr>
                  </w:pPr>
                  <w:r>
                    <w:rPr>
                      <w:rFonts w:hint="eastAsia"/>
                      <w:szCs w:val="21"/>
                      <w:lang w:val="en-US" w:eastAsia="zh-CN"/>
                    </w:rPr>
                    <w:t>/</w:t>
                  </w:r>
                </w:p>
              </w:tc>
              <w:tc>
                <w:tcPr>
                  <w:tcW w:w="1380" w:type="pct"/>
                  <w:vAlign w:val="center"/>
                </w:tcPr>
                <w:p>
                  <w:pPr>
                    <w:jc w:val="center"/>
                    <w:rPr>
                      <w:rFonts w:hint="default" w:eastAsia="宋体"/>
                      <w:szCs w:val="21"/>
                      <w:lang w:val="en-US" w:eastAsia="zh-CN"/>
                    </w:rPr>
                  </w:pPr>
                  <w:r>
                    <w:rPr>
                      <w:rFonts w:hint="eastAsia"/>
                      <w:szCs w:val="21"/>
                      <w:lang w:val="en-US" w:eastAsia="zh-CN"/>
                    </w:rPr>
                    <w:t>3</w:t>
                  </w:r>
                </w:p>
              </w:tc>
              <w:tc>
                <w:tcPr>
                  <w:tcW w:w="1970" w:type="dxa"/>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3</w:t>
                  </w:r>
                </w:p>
              </w:tc>
              <w:tc>
                <w:tcPr>
                  <w:tcW w:w="871" w:type="pct"/>
                  <w:vAlign w:val="center"/>
                </w:tcPr>
                <w:p>
                  <w:pPr>
                    <w:jc w:val="center"/>
                    <w:rPr>
                      <w:rFonts w:hint="default" w:eastAsia="宋体"/>
                      <w:szCs w:val="21"/>
                      <w:lang w:val="en-US" w:eastAsia="zh-CN"/>
                    </w:rPr>
                  </w:pPr>
                  <w:r>
                    <w:rPr>
                      <w:rFonts w:hint="eastAsia"/>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294" w:type="pct"/>
                  <w:vAlign w:val="center"/>
                </w:tcPr>
                <w:p>
                  <w:pPr>
                    <w:spacing w:before="60"/>
                    <w:jc w:val="center"/>
                    <w:rPr>
                      <w:rFonts w:hint="eastAsia" w:eastAsia="宋体"/>
                      <w:color w:val="000000"/>
                      <w:szCs w:val="21"/>
                      <w:lang w:val="en-US" w:eastAsia="zh-CN"/>
                    </w:rPr>
                  </w:pPr>
                  <w:r>
                    <w:rPr>
                      <w:rFonts w:hint="eastAsia"/>
                      <w:color w:val="000000"/>
                      <w:szCs w:val="21"/>
                      <w:lang w:val="en-US" w:eastAsia="zh-CN"/>
                    </w:rPr>
                    <w:t>5</w:t>
                  </w:r>
                </w:p>
              </w:tc>
              <w:tc>
                <w:tcPr>
                  <w:tcW w:w="864" w:type="pct"/>
                  <w:vAlign w:val="center"/>
                </w:tcPr>
                <w:p>
                  <w:pPr>
                    <w:spacing w:before="60"/>
                    <w:jc w:val="center"/>
                    <w:rPr>
                      <w:rFonts w:hint="default" w:eastAsia="宋体"/>
                      <w:color w:val="000000"/>
                      <w:szCs w:val="21"/>
                      <w:lang w:val="en-US" w:eastAsia="zh-CN"/>
                    </w:rPr>
                  </w:pPr>
                  <w:r>
                    <w:rPr>
                      <w:rFonts w:hint="eastAsia"/>
                      <w:color w:val="000000"/>
                      <w:szCs w:val="21"/>
                      <w:lang w:val="en-US" w:eastAsia="zh-CN"/>
                    </w:rPr>
                    <w:t>油墨</w:t>
                  </w:r>
                </w:p>
              </w:tc>
              <w:tc>
                <w:tcPr>
                  <w:tcW w:w="461" w:type="pct"/>
                  <w:vAlign w:val="center"/>
                </w:tcPr>
                <w:p>
                  <w:pPr>
                    <w:jc w:val="center"/>
                    <w:rPr>
                      <w:szCs w:val="21"/>
                    </w:rPr>
                  </w:pPr>
                  <w:r>
                    <w:rPr>
                      <w:rFonts w:hint="eastAsia"/>
                      <w:szCs w:val="21"/>
                      <w:lang w:val="en-US" w:eastAsia="zh-CN"/>
                    </w:rPr>
                    <w:t>/</w:t>
                  </w:r>
                </w:p>
              </w:tc>
              <w:tc>
                <w:tcPr>
                  <w:tcW w:w="1380" w:type="pct"/>
                  <w:vAlign w:val="center"/>
                </w:tcPr>
                <w:p>
                  <w:pPr>
                    <w:jc w:val="center"/>
                    <w:rPr>
                      <w:rFonts w:hint="default" w:eastAsia="宋体"/>
                      <w:szCs w:val="21"/>
                      <w:lang w:val="en-US" w:eastAsia="zh-CN"/>
                    </w:rPr>
                  </w:pPr>
                  <w:r>
                    <w:rPr>
                      <w:rFonts w:hint="eastAsia"/>
                      <w:szCs w:val="21"/>
                      <w:lang w:val="en-US" w:eastAsia="zh-CN"/>
                    </w:rPr>
                    <w:t>0.5</w:t>
                  </w:r>
                </w:p>
              </w:tc>
              <w:tc>
                <w:tcPr>
                  <w:tcW w:w="1970" w:type="dxa"/>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0.5</w:t>
                  </w:r>
                </w:p>
              </w:tc>
              <w:tc>
                <w:tcPr>
                  <w:tcW w:w="871" w:type="pct"/>
                  <w:vAlign w:val="center"/>
                </w:tcPr>
                <w:p>
                  <w:pPr>
                    <w:jc w:val="center"/>
                    <w:rPr>
                      <w:rFonts w:hint="default" w:eastAsia="宋体"/>
                      <w:szCs w:val="21"/>
                      <w:lang w:val="en-US" w:eastAsia="zh-CN"/>
                    </w:rPr>
                  </w:pPr>
                  <w:r>
                    <w:rPr>
                      <w:rFonts w:hint="eastAsia"/>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294" w:type="pct"/>
                  <w:vAlign w:val="center"/>
                </w:tcPr>
                <w:p>
                  <w:pPr>
                    <w:spacing w:before="60"/>
                    <w:jc w:val="center"/>
                    <w:rPr>
                      <w:rFonts w:hint="eastAsia" w:eastAsia="宋体"/>
                      <w:color w:val="000000"/>
                      <w:szCs w:val="21"/>
                      <w:lang w:val="en-US" w:eastAsia="zh-CN"/>
                    </w:rPr>
                  </w:pPr>
                  <w:r>
                    <w:rPr>
                      <w:rFonts w:hint="eastAsia"/>
                      <w:color w:val="000000"/>
                      <w:szCs w:val="21"/>
                      <w:lang w:val="en-US" w:eastAsia="zh-CN"/>
                    </w:rPr>
                    <w:t>6</w:t>
                  </w:r>
                </w:p>
              </w:tc>
              <w:tc>
                <w:tcPr>
                  <w:tcW w:w="864" w:type="pct"/>
                  <w:vAlign w:val="center"/>
                </w:tcPr>
                <w:p>
                  <w:pPr>
                    <w:spacing w:before="60"/>
                    <w:jc w:val="center"/>
                    <w:rPr>
                      <w:rFonts w:hint="default" w:eastAsia="宋体"/>
                      <w:color w:val="000000"/>
                      <w:szCs w:val="21"/>
                      <w:lang w:val="en-US" w:eastAsia="zh-CN"/>
                    </w:rPr>
                  </w:pPr>
                  <w:r>
                    <w:rPr>
                      <w:rFonts w:hint="eastAsia"/>
                      <w:color w:val="000000"/>
                      <w:szCs w:val="21"/>
                      <w:lang w:val="en-US" w:eastAsia="zh-CN"/>
                    </w:rPr>
                    <w:t>稀释剂</w:t>
                  </w:r>
                </w:p>
              </w:tc>
              <w:tc>
                <w:tcPr>
                  <w:tcW w:w="461" w:type="pct"/>
                  <w:vAlign w:val="center"/>
                </w:tcPr>
                <w:p>
                  <w:pPr>
                    <w:jc w:val="center"/>
                    <w:rPr>
                      <w:szCs w:val="21"/>
                    </w:rPr>
                  </w:pPr>
                  <w:r>
                    <w:rPr>
                      <w:rFonts w:hint="eastAsia"/>
                      <w:szCs w:val="21"/>
                      <w:lang w:val="en-US" w:eastAsia="zh-CN"/>
                    </w:rPr>
                    <w:t>/</w:t>
                  </w:r>
                </w:p>
              </w:tc>
              <w:tc>
                <w:tcPr>
                  <w:tcW w:w="1380" w:type="pct"/>
                  <w:vAlign w:val="center"/>
                </w:tcPr>
                <w:p>
                  <w:pPr>
                    <w:jc w:val="center"/>
                    <w:rPr>
                      <w:rFonts w:hint="default" w:eastAsia="宋体"/>
                      <w:szCs w:val="21"/>
                      <w:lang w:val="en-US" w:eastAsia="zh-CN"/>
                    </w:rPr>
                  </w:pPr>
                  <w:r>
                    <w:rPr>
                      <w:rFonts w:hint="eastAsia"/>
                      <w:szCs w:val="21"/>
                      <w:lang w:val="en-US" w:eastAsia="zh-CN"/>
                    </w:rPr>
                    <w:t>0.015</w:t>
                  </w:r>
                </w:p>
              </w:tc>
              <w:tc>
                <w:tcPr>
                  <w:tcW w:w="1970" w:type="dxa"/>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0.015</w:t>
                  </w:r>
                </w:p>
              </w:tc>
              <w:tc>
                <w:tcPr>
                  <w:tcW w:w="871" w:type="pct"/>
                  <w:vAlign w:val="center"/>
                </w:tcPr>
                <w:p>
                  <w:pPr>
                    <w:jc w:val="center"/>
                    <w:rPr>
                      <w:rFonts w:hint="default" w:eastAsia="宋体"/>
                      <w:szCs w:val="21"/>
                      <w:lang w:val="en-US" w:eastAsia="zh-CN"/>
                    </w:rPr>
                  </w:pPr>
                  <w:r>
                    <w:rPr>
                      <w:rFonts w:hint="eastAsia"/>
                      <w:szCs w:val="21"/>
                      <w:lang w:val="en-US" w:eastAsia="zh-CN"/>
                    </w:rPr>
                    <w:t>/</w:t>
                  </w:r>
                </w:p>
              </w:tc>
            </w:tr>
          </w:tbl>
          <w:p>
            <w:pPr>
              <w:bidi w:val="0"/>
            </w:pPr>
          </w:p>
          <w:p>
            <w:pPr>
              <w:pStyle w:val="5"/>
            </w:pPr>
            <w:bookmarkStart w:id="47" w:name="_Toc22269"/>
            <w:r>
              <w:rPr>
                <w:rFonts w:hint="eastAsia"/>
              </w:rPr>
              <w:t>项目变动情况</w:t>
            </w:r>
            <w:bookmarkEnd w:id="46"/>
            <w:bookmarkEnd w:id="47"/>
          </w:p>
          <w:p>
            <w:pPr>
              <w:pStyle w:val="15"/>
              <w:rPr>
                <w:rFonts w:hint="default" w:ascii="Times New Roman" w:hAnsi="Times New Roman" w:cs="Times New Roman"/>
              </w:rPr>
            </w:pPr>
            <w:r>
              <w:rPr>
                <w:rFonts w:hint="default" w:ascii="Times New Roman" w:hAnsi="Times New Roman" w:cs="Times New Roman"/>
              </w:rPr>
              <w:t>表2.3-1</w:t>
            </w:r>
            <w:r>
              <w:rPr>
                <w:rFonts w:hint="default" w:ascii="Times New Roman" w:hAnsi="Times New Roman" w:cs="Times New Roman"/>
                <w:lang w:val="en-US" w:eastAsia="zh-CN"/>
              </w:rPr>
              <w:t xml:space="preserve"> </w:t>
            </w:r>
            <w:r>
              <w:rPr>
                <w:rFonts w:hint="default" w:ascii="Times New Roman" w:hAnsi="Times New Roman" w:cs="Times New Roman"/>
              </w:rPr>
              <w:t>项目建设变化情况</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835"/>
              <w:gridCol w:w="1871"/>
              <w:gridCol w:w="3477"/>
              <w:gridCol w:w="1523"/>
              <w:gridCol w:w="5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gridSpan w:val="2"/>
                  <w:shd w:val="clear" w:color="auto" w:fill="auto"/>
                  <w:vAlign w:val="center"/>
                </w:tcPr>
                <w:p>
                  <w:pPr>
                    <w:spacing w:line="360" w:lineRule="exact"/>
                    <w:jc w:val="center"/>
                    <w:rPr>
                      <w:szCs w:val="21"/>
                    </w:rPr>
                  </w:pPr>
                  <w:r>
                    <w:rPr>
                      <w:szCs w:val="21"/>
                    </w:rPr>
                    <w:t>工程建设</w:t>
                  </w:r>
                </w:p>
                <w:p>
                  <w:pPr>
                    <w:spacing w:line="360" w:lineRule="exact"/>
                    <w:jc w:val="center"/>
                    <w:rPr>
                      <w:szCs w:val="21"/>
                    </w:rPr>
                  </w:pPr>
                  <w:r>
                    <w:rPr>
                      <w:szCs w:val="21"/>
                    </w:rPr>
                    <w:t>内容</w:t>
                  </w:r>
                </w:p>
              </w:tc>
              <w:tc>
                <w:tcPr>
                  <w:tcW w:w="3062" w:type="pct"/>
                  <w:gridSpan w:val="2"/>
                  <w:shd w:val="clear" w:color="auto" w:fill="auto"/>
                  <w:vAlign w:val="center"/>
                </w:tcPr>
                <w:p>
                  <w:pPr>
                    <w:spacing w:line="360" w:lineRule="exact"/>
                    <w:jc w:val="center"/>
                    <w:rPr>
                      <w:szCs w:val="21"/>
                    </w:rPr>
                  </w:pPr>
                  <w:r>
                    <w:rPr>
                      <w:szCs w:val="21"/>
                    </w:rPr>
                    <w:t>环评设计情况</w:t>
                  </w:r>
                </w:p>
              </w:tc>
              <w:tc>
                <w:tcPr>
                  <w:tcW w:w="872" w:type="pct"/>
                  <w:shd w:val="clear" w:color="auto" w:fill="auto"/>
                  <w:vAlign w:val="center"/>
                </w:tcPr>
                <w:p>
                  <w:pPr>
                    <w:spacing w:line="360" w:lineRule="exact"/>
                    <w:jc w:val="center"/>
                    <w:rPr>
                      <w:szCs w:val="21"/>
                    </w:rPr>
                  </w:pPr>
                  <w:r>
                    <w:rPr>
                      <w:szCs w:val="21"/>
                    </w:rPr>
                    <w:t>实际建设情况</w:t>
                  </w:r>
                </w:p>
              </w:tc>
              <w:tc>
                <w:tcPr>
                  <w:tcW w:w="290" w:type="pct"/>
                  <w:shd w:val="clear" w:color="auto" w:fill="auto"/>
                  <w:vAlign w:val="center"/>
                </w:tcPr>
                <w:p>
                  <w:pPr>
                    <w:spacing w:line="360" w:lineRule="exact"/>
                    <w:jc w:val="center"/>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shd w:val="clear" w:color="auto" w:fill="auto"/>
                  <w:vAlign w:val="center"/>
                </w:tcPr>
                <w:p>
                  <w:pPr>
                    <w:spacing w:line="360" w:lineRule="exact"/>
                    <w:jc w:val="center"/>
                    <w:rPr>
                      <w:szCs w:val="21"/>
                    </w:rPr>
                  </w:pPr>
                  <w:r>
                    <w:rPr>
                      <w:szCs w:val="21"/>
                    </w:rPr>
                    <w:t>建</w:t>
                  </w:r>
                </w:p>
                <w:p>
                  <w:pPr>
                    <w:spacing w:line="360" w:lineRule="exact"/>
                    <w:jc w:val="center"/>
                    <w:rPr>
                      <w:szCs w:val="21"/>
                    </w:rPr>
                  </w:pPr>
                  <w:r>
                    <w:rPr>
                      <w:szCs w:val="21"/>
                    </w:rPr>
                    <w:t>设</w:t>
                  </w:r>
                </w:p>
                <w:p>
                  <w:pPr>
                    <w:spacing w:line="360" w:lineRule="exact"/>
                    <w:jc w:val="center"/>
                    <w:rPr>
                      <w:szCs w:val="21"/>
                    </w:rPr>
                  </w:pPr>
                  <w:r>
                    <w:rPr>
                      <w:szCs w:val="21"/>
                    </w:rPr>
                    <w:t>内</w:t>
                  </w:r>
                </w:p>
                <w:p>
                  <w:pPr>
                    <w:spacing w:line="360" w:lineRule="exact"/>
                    <w:jc w:val="center"/>
                    <w:rPr>
                      <w:szCs w:val="21"/>
                    </w:rPr>
                  </w:pPr>
                  <w:r>
                    <w:rPr>
                      <w:szCs w:val="21"/>
                    </w:rPr>
                    <w:t>容</w:t>
                  </w:r>
                </w:p>
              </w:tc>
              <w:tc>
                <w:tcPr>
                  <w:tcW w:w="478" w:type="pct"/>
                  <w:shd w:val="clear" w:color="auto" w:fill="auto"/>
                  <w:vAlign w:val="center"/>
                </w:tcPr>
                <w:p>
                  <w:pPr>
                    <w:spacing w:line="360" w:lineRule="exact"/>
                    <w:jc w:val="center"/>
                    <w:rPr>
                      <w:szCs w:val="21"/>
                    </w:rPr>
                  </w:pPr>
                  <w:r>
                    <w:rPr>
                      <w:szCs w:val="21"/>
                    </w:rPr>
                    <w:t>主体</w:t>
                  </w:r>
                </w:p>
                <w:p>
                  <w:pPr>
                    <w:spacing w:line="360" w:lineRule="exact"/>
                    <w:jc w:val="center"/>
                    <w:rPr>
                      <w:szCs w:val="21"/>
                    </w:rPr>
                  </w:pPr>
                  <w:r>
                    <w:rPr>
                      <w:szCs w:val="21"/>
                    </w:rPr>
                    <w:t>工程</w:t>
                  </w:r>
                </w:p>
              </w:tc>
              <w:tc>
                <w:tcPr>
                  <w:tcW w:w="3062" w:type="pct"/>
                  <w:gridSpan w:val="2"/>
                  <w:shd w:val="clear" w:color="auto" w:fill="auto"/>
                  <w:vAlign w:val="center"/>
                </w:tcPr>
                <w:p>
                  <w:pPr>
                    <w:spacing w:line="360" w:lineRule="exact"/>
                    <w:jc w:val="left"/>
                    <w:rPr>
                      <w:szCs w:val="21"/>
                    </w:rPr>
                  </w:pPr>
                  <w:r>
                    <w:rPr>
                      <w:color w:val="000000"/>
                      <w:szCs w:val="21"/>
                    </w:rPr>
                    <w:t>本</w:t>
                  </w:r>
                  <w:r>
                    <w:rPr>
                      <w:color w:val="000000"/>
                      <w:szCs w:val="21"/>
                      <w:highlight w:val="none"/>
                    </w:rPr>
                    <w:t>项目总投资</w:t>
                  </w:r>
                  <w:r>
                    <w:rPr>
                      <w:rFonts w:hint="eastAsia"/>
                      <w:color w:val="000000"/>
                      <w:szCs w:val="21"/>
                      <w:highlight w:val="none"/>
                      <w:lang w:val="en-US" w:eastAsia="zh-CN"/>
                    </w:rPr>
                    <w:t>15</w:t>
                  </w:r>
                  <w:r>
                    <w:rPr>
                      <w:color w:val="000000"/>
                      <w:szCs w:val="21"/>
                      <w:highlight w:val="none"/>
                    </w:rPr>
                    <w:t>万元，位于</w:t>
                  </w:r>
                  <w:r>
                    <w:rPr>
                      <w:rFonts w:hint="eastAsia"/>
                      <w:szCs w:val="21"/>
                      <w:highlight w:val="none"/>
                      <w:lang w:eastAsia="zh-CN"/>
                    </w:rPr>
                    <w:t>宁波市海曙区古林镇蜃蛟村</w:t>
                  </w:r>
                  <w:r>
                    <w:rPr>
                      <w:szCs w:val="21"/>
                      <w:highlight w:val="none"/>
                    </w:rPr>
                    <w:t>，实施</w:t>
                  </w:r>
                  <w:r>
                    <w:rPr>
                      <w:rFonts w:hint="eastAsia"/>
                      <w:szCs w:val="21"/>
                      <w:highlight w:val="none"/>
                      <w:lang w:eastAsia="zh-CN"/>
                    </w:rPr>
                    <w:t>“衣片印花</w:t>
                  </w:r>
                  <w:r>
                    <w:rPr>
                      <w:rFonts w:hint="eastAsia"/>
                      <w:szCs w:val="21"/>
                      <w:highlight w:val="none"/>
                      <w:lang w:val="en-US" w:eastAsia="zh-CN"/>
                    </w:rPr>
                    <w:t>生产</w:t>
                  </w:r>
                  <w:r>
                    <w:rPr>
                      <w:szCs w:val="21"/>
                      <w:highlight w:val="none"/>
                    </w:rPr>
                    <w:t>项目</w:t>
                  </w:r>
                  <w:r>
                    <w:rPr>
                      <w:rFonts w:hint="eastAsia"/>
                      <w:szCs w:val="21"/>
                      <w:highlight w:val="none"/>
                      <w:lang w:eastAsia="zh-CN"/>
                    </w:rPr>
                    <w:t>”</w:t>
                  </w:r>
                  <w:r>
                    <w:rPr>
                      <w:szCs w:val="21"/>
                      <w:highlight w:val="none"/>
                    </w:rPr>
                    <w:t>，建成后预计</w:t>
                  </w:r>
                  <w:r>
                    <w:rPr>
                      <w:rFonts w:hint="eastAsia"/>
                      <w:highlight w:val="none"/>
                      <w:lang w:val="en-US" w:eastAsia="zh-CN"/>
                    </w:rPr>
                    <w:t>年产值100万</w:t>
                  </w:r>
                  <w:r>
                    <w:rPr>
                      <w:color w:val="000000"/>
                      <w:szCs w:val="21"/>
                      <w:highlight w:val="none"/>
                    </w:rPr>
                    <w:t>。</w:t>
                  </w:r>
                </w:p>
              </w:tc>
              <w:tc>
                <w:tcPr>
                  <w:tcW w:w="872" w:type="pct"/>
                  <w:shd w:val="clear" w:color="auto" w:fill="auto"/>
                  <w:vAlign w:val="center"/>
                </w:tcPr>
                <w:p>
                  <w:pPr>
                    <w:spacing w:line="360" w:lineRule="exact"/>
                    <w:jc w:val="center"/>
                    <w:rPr>
                      <w:szCs w:val="21"/>
                    </w:rPr>
                  </w:pPr>
                  <w:r>
                    <w:rPr>
                      <w:szCs w:val="21"/>
                    </w:rPr>
                    <w:t>相符</w:t>
                  </w:r>
                </w:p>
              </w:tc>
              <w:tc>
                <w:tcPr>
                  <w:tcW w:w="290" w:type="pct"/>
                  <w:shd w:val="clear" w:color="auto" w:fill="auto"/>
                  <w:vAlign w:val="center"/>
                </w:tcPr>
                <w:p>
                  <w:pPr>
                    <w:spacing w:line="36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96" w:type="pct"/>
                  <w:vMerge w:val="continue"/>
                  <w:shd w:val="clear" w:color="auto" w:fill="auto"/>
                  <w:vAlign w:val="center"/>
                </w:tcPr>
                <w:p>
                  <w:pPr>
                    <w:spacing w:line="360" w:lineRule="exact"/>
                    <w:jc w:val="center"/>
                    <w:rPr>
                      <w:szCs w:val="21"/>
                    </w:rPr>
                  </w:pPr>
                </w:p>
              </w:tc>
              <w:tc>
                <w:tcPr>
                  <w:tcW w:w="478" w:type="pct"/>
                  <w:shd w:val="clear" w:color="auto" w:fill="auto"/>
                  <w:vAlign w:val="center"/>
                </w:tcPr>
                <w:p>
                  <w:pPr>
                    <w:spacing w:line="360" w:lineRule="exact"/>
                    <w:jc w:val="center"/>
                    <w:rPr>
                      <w:szCs w:val="21"/>
                    </w:rPr>
                  </w:pPr>
                  <w:r>
                    <w:rPr>
                      <w:szCs w:val="21"/>
                    </w:rPr>
                    <w:t>公用</w:t>
                  </w:r>
                </w:p>
                <w:p>
                  <w:pPr>
                    <w:spacing w:line="360" w:lineRule="exact"/>
                    <w:jc w:val="center"/>
                    <w:rPr>
                      <w:szCs w:val="21"/>
                    </w:rPr>
                  </w:pPr>
                  <w:r>
                    <w:rPr>
                      <w:szCs w:val="21"/>
                    </w:rPr>
                    <w:t>工程</w:t>
                  </w:r>
                </w:p>
              </w:tc>
              <w:tc>
                <w:tcPr>
                  <w:tcW w:w="3062" w:type="pct"/>
                  <w:gridSpan w:val="2"/>
                  <w:shd w:val="clear" w:color="auto" w:fill="auto"/>
                  <w:vAlign w:val="center"/>
                </w:tcPr>
                <w:p>
                  <w:pPr>
                    <w:spacing w:line="360" w:lineRule="exact"/>
                    <w:jc w:val="left"/>
                    <w:rPr>
                      <w:szCs w:val="21"/>
                    </w:rPr>
                  </w:pPr>
                  <w:r>
                    <w:rPr>
                      <w:rFonts w:hint="eastAsia"/>
                      <w:szCs w:val="21"/>
                      <w:lang w:eastAsia="zh-CN"/>
                    </w:rPr>
                    <w:t>排气</w:t>
                  </w:r>
                  <w:r>
                    <w:rPr>
                      <w:rFonts w:hint="eastAsia"/>
                      <w:szCs w:val="21"/>
                    </w:rPr>
                    <w:t>：</w:t>
                  </w:r>
                  <w:r>
                    <w:rPr>
                      <w:rFonts w:hint="eastAsia" w:hAnsi="宋体"/>
                      <w:szCs w:val="21"/>
                      <w:lang w:val="en-US" w:eastAsia="zh-CN"/>
                    </w:rPr>
                    <w:t>15米排气筒</w:t>
                  </w:r>
                  <w:r>
                    <w:rPr>
                      <w:rFonts w:hint="eastAsia" w:hAnsi="宋体"/>
                      <w:szCs w:val="21"/>
                    </w:rPr>
                    <w:t>。</w:t>
                  </w:r>
                </w:p>
                <w:p>
                  <w:pPr>
                    <w:spacing w:line="360" w:lineRule="exact"/>
                    <w:jc w:val="left"/>
                    <w:rPr>
                      <w:szCs w:val="21"/>
                    </w:rPr>
                  </w:pPr>
                  <w:r>
                    <w:rPr>
                      <w:rFonts w:hint="eastAsia"/>
                      <w:szCs w:val="21"/>
                      <w:lang w:eastAsia="zh-CN"/>
                    </w:rPr>
                    <w:t>给水</w:t>
                  </w:r>
                  <w:r>
                    <w:rPr>
                      <w:rFonts w:hint="eastAsia"/>
                      <w:szCs w:val="21"/>
                    </w:rPr>
                    <w:t>：</w:t>
                  </w:r>
                  <w:r>
                    <w:rPr>
                      <w:rFonts w:hint="eastAsia" w:hAnsi="宋体"/>
                      <w:szCs w:val="21"/>
                      <w:lang w:eastAsia="zh-CN"/>
                    </w:rPr>
                    <w:t>由市政管网直接供给</w:t>
                  </w:r>
                  <w:r>
                    <w:rPr>
                      <w:rFonts w:hint="eastAsia"/>
                      <w:szCs w:val="21"/>
                    </w:rPr>
                    <w:t>。</w:t>
                  </w:r>
                </w:p>
                <w:p>
                  <w:pPr>
                    <w:spacing w:line="360" w:lineRule="exact"/>
                    <w:rPr>
                      <w:szCs w:val="21"/>
                    </w:rPr>
                  </w:pPr>
                  <w:r>
                    <w:rPr>
                      <w:rFonts w:hint="eastAsia"/>
                      <w:szCs w:val="21"/>
                    </w:rPr>
                    <w:t>排水：</w:t>
                  </w:r>
                  <w:r>
                    <w:rPr>
                      <w:rFonts w:hint="eastAsia" w:hAnsi="宋体"/>
                      <w:szCs w:val="21"/>
                      <w:lang w:val="en-US" w:eastAsia="zh-CN"/>
                    </w:rPr>
                    <w:t>生活污水经化粪池处理达标纳管排放，生产废水循环使用不排放</w:t>
                  </w:r>
                  <w:r>
                    <w:rPr>
                      <w:rFonts w:hint="eastAsia" w:hAnsi="宋体"/>
                      <w:szCs w:val="21"/>
                    </w:rPr>
                    <w:t>。</w:t>
                  </w:r>
                </w:p>
              </w:tc>
              <w:tc>
                <w:tcPr>
                  <w:tcW w:w="872" w:type="pct"/>
                  <w:shd w:val="clear" w:color="auto" w:fill="auto"/>
                  <w:vAlign w:val="center"/>
                </w:tcPr>
                <w:p>
                  <w:pPr>
                    <w:spacing w:line="360" w:lineRule="exact"/>
                    <w:jc w:val="center"/>
                    <w:rPr>
                      <w:szCs w:val="21"/>
                    </w:rPr>
                  </w:pPr>
                  <w:r>
                    <w:rPr>
                      <w:szCs w:val="21"/>
                    </w:rPr>
                    <w:t>相符</w:t>
                  </w:r>
                </w:p>
              </w:tc>
              <w:tc>
                <w:tcPr>
                  <w:tcW w:w="290" w:type="pct"/>
                  <w:shd w:val="clear" w:color="auto" w:fill="auto"/>
                  <w:vAlign w:val="center"/>
                </w:tcPr>
                <w:p>
                  <w:pPr>
                    <w:spacing w:line="36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96" w:type="pct"/>
                  <w:vMerge w:val="continue"/>
                  <w:shd w:val="clear" w:color="auto" w:fill="auto"/>
                  <w:vAlign w:val="center"/>
                </w:tcPr>
                <w:p>
                  <w:pPr>
                    <w:spacing w:line="360" w:lineRule="exact"/>
                    <w:jc w:val="center"/>
                    <w:rPr>
                      <w:szCs w:val="21"/>
                    </w:rPr>
                  </w:pPr>
                </w:p>
              </w:tc>
              <w:tc>
                <w:tcPr>
                  <w:tcW w:w="478" w:type="pct"/>
                  <w:vMerge w:val="restart"/>
                  <w:shd w:val="clear" w:color="auto" w:fill="auto"/>
                  <w:vAlign w:val="center"/>
                </w:tcPr>
                <w:p>
                  <w:pPr>
                    <w:spacing w:line="360" w:lineRule="exact"/>
                    <w:jc w:val="center"/>
                    <w:rPr>
                      <w:szCs w:val="21"/>
                    </w:rPr>
                  </w:pPr>
                  <w:r>
                    <w:rPr>
                      <w:szCs w:val="21"/>
                    </w:rPr>
                    <w:t>环保</w:t>
                  </w:r>
                </w:p>
                <w:p>
                  <w:pPr>
                    <w:spacing w:line="360" w:lineRule="exact"/>
                    <w:jc w:val="center"/>
                    <w:rPr>
                      <w:szCs w:val="21"/>
                    </w:rPr>
                  </w:pPr>
                  <w:r>
                    <w:rPr>
                      <w:szCs w:val="21"/>
                    </w:rPr>
                    <w:t>工程</w:t>
                  </w:r>
                </w:p>
              </w:tc>
              <w:tc>
                <w:tcPr>
                  <w:tcW w:w="1071" w:type="pct"/>
                  <w:shd w:val="clear" w:color="auto" w:fill="auto"/>
                  <w:vAlign w:val="center"/>
                </w:tcPr>
                <w:p>
                  <w:pPr>
                    <w:spacing w:line="360" w:lineRule="exact"/>
                    <w:jc w:val="cente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hint="eastAsia"/>
                      <w:szCs w:val="21"/>
                      <w:lang w:eastAsia="zh-CN"/>
                    </w:rPr>
                    <w:t>生活污水</w:t>
                  </w:r>
                </w:p>
              </w:tc>
              <w:tc>
                <w:tcPr>
                  <w:tcW w:w="1990" w:type="pct"/>
                  <w:shd w:val="clear" w:color="auto" w:fill="auto"/>
                  <w:vAlign w:val="center"/>
                </w:tcPr>
                <w:p>
                  <w:pPr>
                    <w:spacing w:line="360" w:lineRule="exact"/>
                    <w:jc w:val="center"/>
                    <w:rPr>
                      <w:rFonts w:ascii="Times New Roman" w:hAnsi="Times New Roman" w:eastAsia="宋体" w:cs="宋体"/>
                      <w:spacing w:val="5"/>
                      <w:kern w:val="0"/>
                      <w:sz w:val="21"/>
                      <w:szCs w:val="21"/>
                      <w:lang w:val="en-US" w:eastAsia="zh-CN" w:bidi="ar-SA"/>
                    </w:rPr>
                  </w:pPr>
                  <w:r>
                    <w:rPr>
                      <w:rFonts w:hint="eastAsia" w:hAnsi="宋体"/>
                      <w:szCs w:val="21"/>
                      <w:lang w:val="en-US" w:eastAsia="zh-CN"/>
                    </w:rPr>
                    <w:t>进入污水管网，经宁波鄞西污水处理厂处理后达到GB18918-2002《城镇污水处理厂污染物排放标准》的一级A标准后排放</w:t>
                  </w:r>
                </w:p>
              </w:tc>
              <w:tc>
                <w:tcPr>
                  <w:tcW w:w="872" w:type="pct"/>
                  <w:shd w:val="clear" w:color="auto" w:fill="auto"/>
                  <w:vAlign w:val="center"/>
                </w:tcPr>
                <w:p>
                  <w:pPr>
                    <w:spacing w:line="360" w:lineRule="exact"/>
                    <w:jc w:val="center"/>
                    <w:rPr>
                      <w:rFonts w:ascii="Times New Roman" w:hAnsi="Times New Roman" w:eastAsia="宋体" w:cs="Times New Roman"/>
                      <w:kern w:val="2"/>
                      <w:sz w:val="21"/>
                      <w:szCs w:val="21"/>
                      <w:lang w:val="en-US" w:eastAsia="zh-CN" w:bidi="ar-SA"/>
                    </w:rPr>
                  </w:pPr>
                  <w:r>
                    <w:rPr>
                      <w:szCs w:val="21"/>
                    </w:rPr>
                    <w:t>相符</w:t>
                  </w:r>
                </w:p>
              </w:tc>
              <w:tc>
                <w:tcPr>
                  <w:tcW w:w="290" w:type="pct"/>
                  <w:vMerge w:val="restart"/>
                  <w:shd w:val="clear" w:color="auto" w:fill="auto"/>
                  <w:vAlign w:val="center"/>
                </w:tcPr>
                <w:p>
                  <w:pPr>
                    <w:spacing w:line="36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96" w:type="pct"/>
                  <w:vMerge w:val="continue"/>
                  <w:shd w:val="clear" w:color="auto" w:fill="auto"/>
                  <w:vAlign w:val="center"/>
                </w:tcPr>
                <w:p>
                  <w:pPr>
                    <w:spacing w:line="360" w:lineRule="exact"/>
                    <w:jc w:val="center"/>
                    <w:rPr>
                      <w:szCs w:val="21"/>
                    </w:rPr>
                  </w:pPr>
                </w:p>
              </w:tc>
              <w:tc>
                <w:tcPr>
                  <w:tcW w:w="478" w:type="pct"/>
                  <w:vMerge w:val="continue"/>
                  <w:shd w:val="clear" w:color="auto" w:fill="auto"/>
                  <w:vAlign w:val="center"/>
                </w:tcPr>
                <w:p>
                  <w:pPr>
                    <w:spacing w:line="360" w:lineRule="exact"/>
                    <w:jc w:val="center"/>
                    <w:rPr>
                      <w:szCs w:val="21"/>
                    </w:rPr>
                  </w:pPr>
                </w:p>
              </w:tc>
              <w:tc>
                <w:tcPr>
                  <w:tcW w:w="3062" w:type="pct"/>
                  <w:gridSpan w:val="2"/>
                  <w:shd w:val="clear" w:color="auto" w:fill="auto"/>
                  <w:vAlign w:val="center"/>
                </w:tcPr>
                <w:p>
                  <w:pPr>
                    <w:pStyle w:val="59"/>
                    <w:spacing w:before="0"/>
                    <w:rPr>
                      <w:rFonts w:hint="eastAsia"/>
                      <w:bCs/>
                      <w:lang w:val="en-US" w:eastAsia="zh-CN"/>
                    </w:rPr>
                  </w:pPr>
                  <w:r>
                    <w:rPr>
                      <w:rFonts w:hint="eastAsia"/>
                      <w:bCs/>
                      <w:lang w:val="en-US" w:eastAsia="zh-CN"/>
                    </w:rPr>
                    <w:t>本项目工业固体废物废旧纺织品、废木质品收集后委托有相关处理资质的单位进行无害化处置；生活垃圾经厂区内收集后委托环卫部门统一清运。</w:t>
                  </w:r>
                </w:p>
              </w:tc>
              <w:tc>
                <w:tcPr>
                  <w:tcW w:w="872" w:type="pct"/>
                  <w:shd w:val="clear" w:color="auto" w:fill="auto"/>
                  <w:vAlign w:val="center"/>
                </w:tcPr>
                <w:p>
                  <w:pPr>
                    <w:pStyle w:val="59"/>
                    <w:spacing w:before="0"/>
                    <w:rPr>
                      <w:rFonts w:hint="eastAsia"/>
                      <w:bCs/>
                      <w:lang w:val="en-US" w:eastAsia="zh-CN"/>
                    </w:rPr>
                  </w:pPr>
                  <w:r>
                    <w:rPr>
                      <w:rFonts w:hint="eastAsia"/>
                      <w:bCs/>
                      <w:lang w:val="en-US" w:eastAsia="zh-CN"/>
                    </w:rPr>
                    <w:t>相符</w:t>
                  </w:r>
                </w:p>
              </w:tc>
              <w:tc>
                <w:tcPr>
                  <w:tcW w:w="290" w:type="pct"/>
                  <w:vMerge w:val="continue"/>
                  <w:shd w:val="clear" w:color="auto" w:fill="auto"/>
                  <w:vAlign w:val="center"/>
                </w:tcPr>
                <w:p>
                  <w:pPr>
                    <w:spacing w:line="36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96" w:type="pct"/>
                  <w:vMerge w:val="continue"/>
                  <w:shd w:val="clear" w:color="auto" w:fill="auto"/>
                  <w:vAlign w:val="center"/>
                </w:tcPr>
                <w:p>
                  <w:pPr>
                    <w:spacing w:line="360" w:lineRule="exact"/>
                    <w:jc w:val="center"/>
                    <w:rPr>
                      <w:szCs w:val="21"/>
                    </w:rPr>
                  </w:pPr>
                </w:p>
              </w:tc>
              <w:tc>
                <w:tcPr>
                  <w:tcW w:w="478" w:type="pct"/>
                  <w:vMerge w:val="continue"/>
                  <w:shd w:val="clear" w:color="auto" w:fill="auto"/>
                  <w:vAlign w:val="center"/>
                </w:tcPr>
                <w:p>
                  <w:pPr>
                    <w:spacing w:line="360" w:lineRule="exact"/>
                    <w:jc w:val="center"/>
                    <w:rPr>
                      <w:szCs w:val="21"/>
                    </w:rPr>
                  </w:pPr>
                </w:p>
              </w:tc>
              <w:tc>
                <w:tcPr>
                  <w:tcW w:w="3062" w:type="pct"/>
                  <w:gridSpan w:val="2"/>
                  <w:shd w:val="clear" w:color="auto" w:fill="auto"/>
                  <w:vAlign w:val="center"/>
                </w:tcPr>
                <w:p>
                  <w:pPr>
                    <w:spacing w:line="360" w:lineRule="exact"/>
                    <w:rPr>
                      <w:rFonts w:ascii="宋体" w:hAnsi="宋体"/>
                    </w:rPr>
                  </w:pPr>
                  <w:r>
                    <w:rPr>
                      <w:rFonts w:hint="eastAsia" w:ascii="宋体" w:hAnsi="宋体"/>
                    </w:rPr>
                    <w:t>①</w:t>
                  </w:r>
                  <w:r>
                    <w:rPr>
                      <w:rFonts w:hint="eastAsia" w:ascii="宋体" w:hAnsi="宋体"/>
                      <w:lang w:val="en-US" w:eastAsia="zh-CN"/>
                    </w:rPr>
                    <w:t>合理规划设备布局</w:t>
                  </w:r>
                  <w:r>
                    <w:rPr>
                      <w:rFonts w:hint="eastAsia" w:ascii="宋体" w:hAnsi="宋体"/>
                    </w:rPr>
                    <w:t>；</w:t>
                  </w:r>
                </w:p>
                <w:p>
                  <w:pPr>
                    <w:spacing w:line="360" w:lineRule="exact"/>
                    <w:rPr>
                      <w:rFonts w:ascii="宋体" w:hAnsi="宋体"/>
                    </w:rPr>
                  </w:pPr>
                  <w:r>
                    <w:rPr>
                      <w:rFonts w:hint="eastAsia" w:ascii="宋体" w:hAnsi="宋体"/>
                    </w:rPr>
                    <w:t>②</w:t>
                  </w:r>
                  <w:r>
                    <w:rPr>
                      <w:rFonts w:hint="eastAsia" w:ascii="宋体" w:hAnsi="宋体"/>
                      <w:lang w:val="en-US" w:eastAsia="zh-CN"/>
                    </w:rPr>
                    <w:t>车间采用实墙，安装隔声玻璃</w:t>
                  </w:r>
                  <w:r>
                    <w:rPr>
                      <w:rFonts w:hint="eastAsia" w:ascii="宋体" w:hAnsi="宋体"/>
                    </w:rPr>
                    <w:t>；</w:t>
                  </w:r>
                </w:p>
                <w:p>
                  <w:pPr>
                    <w:spacing w:line="360" w:lineRule="exact"/>
                    <w:rPr>
                      <w:szCs w:val="21"/>
                    </w:rPr>
                  </w:pPr>
                  <w:r>
                    <w:rPr>
                      <w:rFonts w:hint="eastAsia" w:ascii="宋体" w:hAnsi="宋体"/>
                    </w:rPr>
                    <w:t>③设备应经常维护，加强管理。</w:t>
                  </w:r>
                </w:p>
              </w:tc>
              <w:tc>
                <w:tcPr>
                  <w:tcW w:w="872" w:type="pct"/>
                  <w:shd w:val="clear" w:color="auto" w:fill="auto"/>
                  <w:vAlign w:val="center"/>
                </w:tcPr>
                <w:p>
                  <w:pPr>
                    <w:jc w:val="center"/>
                    <w:rPr>
                      <w:szCs w:val="21"/>
                    </w:rPr>
                  </w:pPr>
                  <w:r>
                    <w:rPr>
                      <w:szCs w:val="21"/>
                    </w:rPr>
                    <w:t>相符</w:t>
                  </w:r>
                </w:p>
              </w:tc>
              <w:tc>
                <w:tcPr>
                  <w:tcW w:w="290" w:type="pct"/>
                  <w:vMerge w:val="continue"/>
                  <w:shd w:val="clear" w:color="auto" w:fill="auto"/>
                  <w:vAlign w:val="center"/>
                </w:tcPr>
                <w:p>
                  <w:pPr>
                    <w:spacing w:line="36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6" w:hRule="atLeast"/>
                <w:jc w:val="center"/>
              </w:trPr>
              <w:tc>
                <w:tcPr>
                  <w:tcW w:w="774" w:type="pct"/>
                  <w:gridSpan w:val="2"/>
                  <w:shd w:val="clear" w:color="auto" w:fill="auto"/>
                  <w:vAlign w:val="center"/>
                </w:tcPr>
                <w:p>
                  <w:pPr>
                    <w:spacing w:line="360" w:lineRule="exact"/>
                    <w:jc w:val="center"/>
                    <w:rPr>
                      <w:szCs w:val="21"/>
                    </w:rPr>
                  </w:pPr>
                  <w:r>
                    <w:rPr>
                      <w:szCs w:val="21"/>
                    </w:rPr>
                    <w:t>定员</w:t>
                  </w:r>
                </w:p>
              </w:tc>
              <w:tc>
                <w:tcPr>
                  <w:tcW w:w="3062" w:type="pct"/>
                  <w:gridSpan w:val="2"/>
                  <w:shd w:val="clear" w:color="auto" w:fill="auto"/>
                  <w:vAlign w:val="center"/>
                </w:tcPr>
                <w:p>
                  <w:pPr>
                    <w:spacing w:line="360" w:lineRule="exact"/>
                    <w:jc w:val="center"/>
                    <w:rPr>
                      <w:szCs w:val="21"/>
                    </w:rPr>
                  </w:pPr>
                  <w:r>
                    <w:rPr>
                      <w:szCs w:val="21"/>
                    </w:rPr>
                    <w:t>员工</w:t>
                  </w:r>
                  <w:r>
                    <w:rPr>
                      <w:rFonts w:hint="eastAsia"/>
                      <w:szCs w:val="21"/>
                      <w:lang w:val="en-US" w:eastAsia="zh-CN"/>
                    </w:rPr>
                    <w:t>10</w:t>
                  </w:r>
                  <w:r>
                    <w:rPr>
                      <w:szCs w:val="21"/>
                    </w:rPr>
                    <w:t>人</w:t>
                  </w:r>
                </w:p>
              </w:tc>
              <w:tc>
                <w:tcPr>
                  <w:tcW w:w="872" w:type="pct"/>
                  <w:shd w:val="clear" w:color="auto" w:fill="auto"/>
                  <w:vAlign w:val="center"/>
                </w:tcPr>
                <w:p>
                  <w:pPr>
                    <w:jc w:val="center"/>
                    <w:rPr>
                      <w:szCs w:val="21"/>
                    </w:rPr>
                  </w:pPr>
                  <w:r>
                    <w:rPr>
                      <w:szCs w:val="21"/>
                    </w:rPr>
                    <w:t>相符</w:t>
                  </w:r>
                </w:p>
              </w:tc>
              <w:tc>
                <w:tcPr>
                  <w:tcW w:w="290" w:type="pct"/>
                  <w:shd w:val="clear" w:color="auto" w:fill="auto"/>
                  <w:vAlign w:val="center"/>
                </w:tcPr>
                <w:p>
                  <w:pPr>
                    <w:spacing w:line="36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gridSpan w:val="2"/>
                  <w:shd w:val="clear" w:color="auto" w:fill="auto"/>
                  <w:vAlign w:val="center"/>
                </w:tcPr>
                <w:p>
                  <w:pPr>
                    <w:spacing w:line="360" w:lineRule="exact"/>
                    <w:jc w:val="center"/>
                    <w:rPr>
                      <w:szCs w:val="21"/>
                    </w:rPr>
                  </w:pPr>
                  <w:r>
                    <w:rPr>
                      <w:szCs w:val="21"/>
                    </w:rPr>
                    <w:t>年工作时间</w:t>
                  </w:r>
                </w:p>
              </w:tc>
              <w:tc>
                <w:tcPr>
                  <w:tcW w:w="3062" w:type="pct"/>
                  <w:gridSpan w:val="2"/>
                  <w:shd w:val="clear" w:color="auto" w:fill="auto"/>
                  <w:vAlign w:val="center"/>
                </w:tcPr>
                <w:p>
                  <w:pPr>
                    <w:spacing w:line="360" w:lineRule="exact"/>
                    <w:jc w:val="center"/>
                    <w:rPr>
                      <w:rFonts w:hint="default" w:eastAsia="宋体"/>
                      <w:szCs w:val="21"/>
                      <w:lang w:val="en-US" w:eastAsia="zh-CN"/>
                    </w:rPr>
                  </w:pPr>
                  <w:r>
                    <w:rPr>
                      <w:rFonts w:hint="eastAsia"/>
                      <w:szCs w:val="21"/>
                    </w:rPr>
                    <w:t>年生产</w:t>
                  </w:r>
                  <w:r>
                    <w:rPr>
                      <w:rFonts w:hint="eastAsia"/>
                      <w:szCs w:val="21"/>
                      <w:lang w:eastAsia="zh-CN"/>
                    </w:rPr>
                    <w:t>天数</w:t>
                  </w:r>
                  <w:r>
                    <w:rPr>
                      <w:rFonts w:hint="eastAsia"/>
                      <w:szCs w:val="21"/>
                      <w:lang w:val="en-US" w:eastAsia="zh-CN"/>
                    </w:rPr>
                    <w:t>300天</w:t>
                  </w:r>
                  <w:r>
                    <w:rPr>
                      <w:rFonts w:hint="eastAsia"/>
                      <w:szCs w:val="21"/>
                      <w:lang w:eastAsia="zh-CN"/>
                    </w:rPr>
                    <w:t>，日工作</w:t>
                  </w:r>
                  <w:r>
                    <w:rPr>
                      <w:rFonts w:hint="eastAsia"/>
                      <w:szCs w:val="21"/>
                      <w:lang w:val="en-US" w:eastAsia="zh-CN"/>
                    </w:rPr>
                    <w:t>8小时</w:t>
                  </w:r>
                </w:p>
              </w:tc>
              <w:tc>
                <w:tcPr>
                  <w:tcW w:w="872" w:type="pct"/>
                  <w:shd w:val="clear" w:color="auto" w:fill="auto"/>
                  <w:vAlign w:val="center"/>
                </w:tcPr>
                <w:p>
                  <w:pPr>
                    <w:jc w:val="center"/>
                    <w:rPr>
                      <w:szCs w:val="21"/>
                    </w:rPr>
                  </w:pPr>
                  <w:r>
                    <w:rPr>
                      <w:rFonts w:hint="eastAsia"/>
                      <w:szCs w:val="21"/>
                    </w:rPr>
                    <w:t>相符</w:t>
                  </w:r>
                </w:p>
              </w:tc>
              <w:tc>
                <w:tcPr>
                  <w:tcW w:w="290" w:type="pct"/>
                  <w:shd w:val="clear" w:color="auto" w:fill="auto"/>
                  <w:vAlign w:val="center"/>
                </w:tcPr>
                <w:p>
                  <w:pPr>
                    <w:spacing w:line="360" w:lineRule="exact"/>
                    <w:jc w:val="center"/>
                    <w:rPr>
                      <w:szCs w:val="21"/>
                    </w:rPr>
                  </w:pPr>
                  <w:r>
                    <w:rPr>
                      <w:szCs w:val="21"/>
                    </w:rPr>
                    <w:t>/</w:t>
                  </w:r>
                </w:p>
              </w:tc>
            </w:tr>
          </w:tbl>
          <w:p>
            <w:pPr>
              <w:spacing w:line="360" w:lineRule="exact"/>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9028" w:type="dxa"/>
          </w:tcPr>
          <w:p>
            <w:pPr>
              <w:pStyle w:val="5"/>
            </w:pPr>
            <w:bookmarkStart w:id="48" w:name="_Toc14925"/>
            <w:bookmarkStart w:id="49" w:name="_Toc16622"/>
            <w:r>
              <w:rPr>
                <w:rFonts w:hint="eastAsia"/>
              </w:rPr>
              <w:t>主要工艺流程及产污环节</w:t>
            </w:r>
            <w:bookmarkEnd w:id="48"/>
            <w:bookmarkEnd w:id="49"/>
          </w:p>
          <w:p>
            <w:pPr>
              <w:pStyle w:val="86"/>
              <w:rPr>
                <w:rFonts w:hint="eastAsia"/>
              </w:rPr>
            </w:pPr>
            <w:r>
              <w:rPr>
                <w:rFonts w:hint="eastAsia"/>
              </w:rPr>
              <w:t>本项目</w:t>
            </w:r>
            <w:r>
              <w:rPr>
                <w:rFonts w:hint="eastAsia"/>
                <w:lang w:val="en-US" w:eastAsia="zh-CN"/>
              </w:rPr>
              <w:t>主要进行，</w:t>
            </w:r>
            <w:r>
              <w:rPr>
                <w:rFonts w:hint="eastAsia"/>
              </w:rPr>
              <w:t>具体工艺流程如下：</w:t>
            </w:r>
          </w:p>
          <w:p>
            <w:pPr>
              <w:pStyle w:val="86"/>
              <w:ind w:left="0" w:leftChars="0" w:firstLine="0" w:firstLineChars="0"/>
              <w:rPr>
                <w:rFonts w:hint="eastAsia" w:eastAsia="宋体"/>
                <w:lang w:eastAsia="zh-CN"/>
              </w:rPr>
            </w:pPr>
            <w:r>
              <w:rPr>
                <w:rFonts w:hint="eastAsia"/>
                <w:lang w:eastAsia="zh-CN"/>
              </w:rPr>
              <w:t>水性印花生产线：</w:t>
            </w:r>
          </w:p>
          <w:p>
            <w:pPr>
              <w:pStyle w:val="4"/>
              <w:ind w:firstLine="0" w:firstLineChars="0"/>
              <w:jc w:val="center"/>
              <w:rPr>
                <w:rFonts w:hint="eastAsia" w:eastAsia="宋体"/>
                <w:lang w:eastAsia="zh-CN"/>
              </w:rPr>
            </w:pPr>
            <w:r>
              <w:rPr>
                <w:rFonts w:hint="eastAsia" w:eastAsia="宋体"/>
                <w:lang w:eastAsia="zh-CN"/>
              </w:rPr>
              <w:drawing>
                <wp:inline distT="0" distB="0" distL="114300" distR="114300">
                  <wp:extent cx="5235575" cy="3022600"/>
                  <wp:effectExtent l="0" t="0" r="0" b="0"/>
                  <wp:docPr id="1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1" descr="wps"/>
                          <pic:cNvPicPr>
                            <a:picLocks noChangeAspect="1"/>
                          </pic:cNvPicPr>
                        </pic:nvPicPr>
                        <pic:blipFill>
                          <a:blip r:embed="rId11"/>
                          <a:stretch>
                            <a:fillRect/>
                          </a:stretch>
                        </pic:blipFill>
                        <pic:spPr>
                          <a:xfrm>
                            <a:off x="0" y="0"/>
                            <a:ext cx="5235575" cy="3022600"/>
                          </a:xfrm>
                          <a:prstGeom prst="rect">
                            <a:avLst/>
                          </a:prstGeom>
                        </pic:spPr>
                      </pic:pic>
                    </a:graphicData>
                  </a:graphic>
                </wp:inline>
              </w:drawing>
            </w:r>
          </w:p>
          <w:p>
            <w:pPr>
              <w:pStyle w:val="4"/>
              <w:ind w:firstLine="0" w:firstLineChars="0"/>
              <w:jc w:val="center"/>
              <w:rPr>
                <w:rFonts w:hint="eastAsia" w:eastAsia="宋体"/>
                <w:lang w:eastAsia="zh-CN"/>
              </w:rPr>
            </w:pPr>
          </w:p>
          <w:p>
            <w:pPr>
              <w:pStyle w:val="4"/>
              <w:ind w:firstLine="0" w:firstLineChars="0"/>
              <w:jc w:val="center"/>
              <w:rPr>
                <w:rFonts w:hint="eastAsia" w:eastAsia="宋体"/>
                <w:lang w:eastAsia="zh-CN"/>
              </w:rPr>
            </w:pPr>
          </w:p>
          <w:p>
            <w:pPr>
              <w:pStyle w:val="4"/>
              <w:ind w:firstLine="0" w:firstLineChars="0"/>
              <w:jc w:val="center"/>
              <w:rPr>
                <w:rFonts w:hint="eastAsia" w:eastAsia="宋体"/>
                <w:lang w:eastAsia="zh-CN"/>
              </w:rPr>
            </w:pPr>
          </w:p>
          <w:p>
            <w:pPr>
              <w:pStyle w:val="4"/>
              <w:ind w:firstLine="0" w:firstLineChars="0"/>
              <w:jc w:val="both"/>
              <w:rPr>
                <w:rFonts w:hint="eastAsia" w:eastAsia="宋体"/>
                <w:lang w:eastAsia="zh-CN"/>
              </w:rPr>
            </w:pPr>
            <w:r>
              <w:rPr>
                <w:rFonts w:hint="eastAsia" w:eastAsia="宋体"/>
                <w:lang w:eastAsia="zh-CN"/>
              </w:rPr>
              <w:t>油性印花生产线：</w:t>
            </w:r>
          </w:p>
          <w:p>
            <w:pPr>
              <w:pStyle w:val="4"/>
              <w:ind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519420" cy="2609850"/>
                  <wp:effectExtent l="0" t="0" r="0" b="0"/>
                  <wp:docPr id="3" name="ECB019B1-382A-4266-B25C-5B523AA43C14-2" descr="C:/Users/Administrator/AppData/Local/Temp/wps.QdRUy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Administrator/AppData/Local/Temp/wps.QdRUyawps"/>
                          <pic:cNvPicPr>
                            <a:picLocks noChangeAspect="1"/>
                          </pic:cNvPicPr>
                        </pic:nvPicPr>
                        <pic:blipFill>
                          <a:blip r:embed="rId12"/>
                          <a:stretch>
                            <a:fillRect/>
                          </a:stretch>
                        </pic:blipFill>
                        <pic:spPr>
                          <a:xfrm>
                            <a:off x="0" y="0"/>
                            <a:ext cx="5519420" cy="2609850"/>
                          </a:xfrm>
                          <a:prstGeom prst="rect">
                            <a:avLst/>
                          </a:prstGeom>
                        </pic:spPr>
                      </pic:pic>
                    </a:graphicData>
                  </a:graphic>
                </wp:inline>
              </w:drawing>
            </w:r>
          </w:p>
          <w:p>
            <w:pPr>
              <w:pStyle w:val="4"/>
              <w:ind w:firstLine="0" w:firstLineChars="0"/>
              <w:jc w:val="center"/>
              <w:rPr>
                <w:rFonts w:hint="eastAsia"/>
                <w:b/>
                <w:lang w:val="en-US" w:eastAsia="zh-CN"/>
              </w:rPr>
            </w:pPr>
            <w:r>
              <w:rPr>
                <w:rFonts w:hint="eastAsia"/>
                <w:b/>
              </w:rPr>
              <w:t xml:space="preserve">图2.4-1 </w:t>
            </w:r>
            <w:r>
              <w:rPr>
                <w:rFonts w:hint="eastAsia"/>
                <w:b/>
                <w:lang w:val="en-US" w:eastAsia="zh-CN"/>
              </w:rPr>
              <w:t>工艺流程</w:t>
            </w:r>
            <w:r>
              <w:rPr>
                <w:rFonts w:hint="eastAsia"/>
                <w:b/>
              </w:rPr>
              <w:t>图</w:t>
            </w:r>
            <w:bookmarkStart w:id="50" w:name="_1507470147"/>
            <w:bookmarkEnd w:id="50"/>
          </w:p>
          <w:p>
            <w:pPr>
              <w:pStyle w:val="4"/>
              <w:ind w:firstLine="0" w:firstLineChars="0"/>
              <w:jc w:val="center"/>
              <w:rPr>
                <w:rFonts w:hint="default"/>
                <w:b/>
                <w:lang w:val="en-US" w:eastAsia="zh-CN"/>
              </w:rPr>
            </w:pPr>
          </w:p>
        </w:tc>
      </w:tr>
    </w:tbl>
    <w:p>
      <w:pPr>
        <w:spacing w:line="360" w:lineRule="auto"/>
        <w:rPr>
          <w:rFonts w:eastAsia="仿宋_GB2312"/>
          <w:color w:val="000000"/>
          <w:szCs w:val="21"/>
        </w:rPr>
        <w:sectPr>
          <w:footerReference r:id="rId4" w:type="default"/>
          <w:pgSz w:w="11906" w:h="16838"/>
          <w:pgMar w:top="1417" w:right="1417" w:bottom="1417" w:left="1417" w:header="708" w:footer="708" w:gutter="0"/>
          <w:pgBorders>
            <w:top w:val="none" w:sz="0" w:space="0"/>
            <w:left w:val="none" w:sz="0" w:space="0"/>
            <w:bottom w:val="none" w:sz="0" w:space="0"/>
            <w:right w:val="none" w:sz="0" w:space="0"/>
          </w:pgBorders>
          <w:pgNumType w:fmt="numberInDash" w:start="1"/>
          <w:cols w:space="720" w:num="1"/>
          <w:docGrid w:linePitch="360" w:charSpace="0"/>
        </w:sectPr>
      </w:pPr>
    </w:p>
    <w:p>
      <w:pPr>
        <w:pStyle w:val="3"/>
        <w:rPr>
          <w:rFonts w:eastAsia="仿宋_GB2312"/>
          <w:color w:val="000000"/>
        </w:rPr>
      </w:pPr>
      <w:bookmarkStart w:id="51" w:name="_Toc16433"/>
      <w:bookmarkStart w:id="52" w:name="_Toc4045"/>
      <w:r>
        <w:rPr>
          <w:rFonts w:hint="eastAsia"/>
        </w:rPr>
        <w:t>主要污染源、污染物处理和排放</w:t>
      </w:r>
      <w:bookmarkEnd w:id="51"/>
      <w:bookmarkEnd w:id="52"/>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pStyle w:val="5"/>
              <w:rPr>
                <w:rFonts w:hint="eastAsia"/>
                <w:lang w:eastAsia="zh-CN"/>
              </w:rPr>
            </w:pPr>
            <w:bookmarkStart w:id="53" w:name="_Toc519235217"/>
            <w:bookmarkEnd w:id="53"/>
            <w:bookmarkStart w:id="54" w:name="_Toc531879816"/>
            <w:bookmarkEnd w:id="54"/>
            <w:bookmarkStart w:id="55" w:name="_Toc531881891"/>
            <w:bookmarkEnd w:id="55"/>
            <w:bookmarkStart w:id="56" w:name="_Toc524703320"/>
            <w:bookmarkEnd w:id="56"/>
            <w:bookmarkStart w:id="57" w:name="_Toc519179415"/>
            <w:bookmarkEnd w:id="57"/>
            <w:bookmarkStart w:id="58" w:name="_Toc519235283"/>
            <w:bookmarkEnd w:id="58"/>
            <w:bookmarkStart w:id="59" w:name="_Toc529265080"/>
            <w:bookmarkEnd w:id="59"/>
            <w:bookmarkStart w:id="60" w:name="_Toc524703387"/>
            <w:bookmarkEnd w:id="60"/>
            <w:bookmarkStart w:id="61" w:name="_Toc518567400"/>
            <w:bookmarkEnd w:id="61"/>
            <w:bookmarkStart w:id="62" w:name="_Toc16198"/>
            <w:bookmarkStart w:id="63" w:name="_Toc21062"/>
            <w:r>
              <w:rPr>
                <w:rFonts w:hint="eastAsia"/>
              </w:rPr>
              <w:t>废气</w:t>
            </w:r>
            <w:bookmarkEnd w:id="62"/>
            <w:bookmarkEnd w:id="63"/>
          </w:p>
          <w:p>
            <w:pPr>
              <w:pStyle w:val="4"/>
              <w:numPr>
                <w:ilvl w:val="0"/>
                <w:numId w:val="0"/>
              </w:numPr>
              <w:ind w:firstLine="480"/>
              <w:rPr>
                <w:rFonts w:hint="default"/>
                <w:lang w:val="en-US" w:eastAsia="zh-CN"/>
              </w:rPr>
            </w:pPr>
            <w:r>
              <w:rPr>
                <w:rFonts w:hint="eastAsia"/>
                <w:lang w:val="en-US" w:eastAsia="zh-CN"/>
              </w:rPr>
              <w:t>印花上浆、烘干和擦洗过程中原料挥发产生的一种含非甲烷总烃的刺激性气体，若不采取有效治理措施，对职工的身体将造成严重的危害，如车间密封不严等情况外逸至厂界外，将对周围环境造成影响；应加强印花车间通风，将印花车间废气用集气罩收集，通过15米以上烟囱高空排放，做到废气达到GB16297-1996《大气污染物综合排放标准》二级标准排放；职工做好个人卫生防护工作，生产过程须佩戴合适滤料的防尘呼吸护具，车间加强通风。</w:t>
            </w:r>
          </w:p>
          <w:p>
            <w:pPr>
              <w:pStyle w:val="5"/>
            </w:pPr>
            <w:bookmarkStart w:id="64" w:name="_Toc16758"/>
            <w:bookmarkStart w:id="65" w:name="_Toc15882"/>
            <w:r>
              <w:rPr>
                <w:rFonts w:hint="eastAsia"/>
              </w:rPr>
              <w:t>废水</w:t>
            </w:r>
            <w:bookmarkEnd w:id="64"/>
            <w:bookmarkEnd w:id="65"/>
          </w:p>
          <w:p>
            <w:pPr>
              <w:pStyle w:val="4"/>
              <w:rPr>
                <w:rFonts w:hint="eastAsia"/>
                <w:lang w:val="en-US" w:eastAsia="zh-CN"/>
              </w:rPr>
            </w:pPr>
            <w:r>
              <w:rPr>
                <w:rFonts w:hint="eastAsia"/>
                <w:lang w:val="en-US" w:eastAsia="zh-CN"/>
              </w:rPr>
              <w:t>本项目产生的废水主要是印花网版清洗水和职工日常生活用水。</w:t>
            </w:r>
          </w:p>
          <w:p>
            <w:pPr>
              <w:pStyle w:val="4"/>
              <w:numPr>
                <w:ilvl w:val="0"/>
                <w:numId w:val="2"/>
              </w:numPr>
              <w:rPr>
                <w:rFonts w:hint="eastAsia"/>
                <w:lang w:val="en-US" w:eastAsia="zh-CN"/>
              </w:rPr>
            </w:pPr>
            <w:r>
              <w:rPr>
                <w:rFonts w:hint="eastAsia"/>
                <w:lang w:val="en-US" w:eastAsia="zh-CN"/>
              </w:rPr>
              <w:t>清洗废水：根据委托方介绍，清洗水年使用量为300吨，经一体化印花污水处理设备处理后，废水主要含PH、色度、CODcr、BOD</w:t>
            </w:r>
            <w:r>
              <w:rPr>
                <w:rFonts w:hint="eastAsia"/>
                <w:vertAlign w:val="subscript"/>
                <w:lang w:val="en-US" w:eastAsia="zh-CN"/>
              </w:rPr>
              <w:t>5</w:t>
            </w:r>
            <w:r>
              <w:rPr>
                <w:rFonts w:hint="eastAsia"/>
                <w:lang w:val="en-US" w:eastAsia="zh-CN"/>
              </w:rPr>
              <w:t>、SS等污染因子。100%循环使用。</w:t>
            </w:r>
          </w:p>
          <w:p>
            <w:pPr>
              <w:pStyle w:val="4"/>
              <w:numPr>
                <w:ilvl w:val="0"/>
                <w:numId w:val="2"/>
              </w:numPr>
              <w:rPr>
                <w:rFonts w:hint="default"/>
                <w:lang w:val="en-US" w:eastAsia="zh-CN"/>
              </w:rPr>
            </w:pPr>
            <w:r>
              <w:rPr>
                <w:rFonts w:hint="eastAsia"/>
                <w:lang w:val="en-US" w:eastAsia="zh-CN"/>
              </w:rPr>
              <w:t>职工日常生活用水：根据委托方介绍，本项目共有职工8人，按0.05吨/人·天计，则生活用水量为112t/a。废水量按用水量的85%计，则生活污水排放量约95.2t/a，其中主要污染物为CODcr、BOD</w:t>
            </w:r>
            <w:r>
              <w:rPr>
                <w:rFonts w:hint="eastAsia"/>
                <w:vertAlign w:val="subscript"/>
                <w:lang w:val="en-US" w:eastAsia="zh-CN"/>
              </w:rPr>
              <w:t>5</w:t>
            </w:r>
            <w:r>
              <w:rPr>
                <w:rFonts w:hint="eastAsia"/>
                <w:lang w:val="en-US" w:eastAsia="zh-CN"/>
              </w:rPr>
              <w:t>、氨氮等。</w:t>
            </w:r>
          </w:p>
          <w:p>
            <w:pPr>
              <w:pStyle w:val="5"/>
            </w:pPr>
            <w:bookmarkStart w:id="66" w:name="_Toc26508"/>
            <w:bookmarkStart w:id="67" w:name="_Toc24543"/>
            <w:r>
              <w:t>噪声</w:t>
            </w:r>
            <w:bookmarkEnd w:id="66"/>
            <w:bookmarkEnd w:id="67"/>
          </w:p>
          <w:p>
            <w:pPr>
              <w:pStyle w:val="4"/>
              <w:rPr>
                <w:rFonts w:hint="default"/>
              </w:rPr>
            </w:pPr>
            <w:r>
              <w:rPr>
                <w:rFonts w:hint="eastAsia"/>
              </w:rPr>
              <w:t>本项目</w:t>
            </w:r>
            <w:r>
              <w:rPr>
                <w:rFonts w:hint="eastAsia"/>
                <w:lang w:eastAsia="zh-CN"/>
              </w:rPr>
              <w:t>以手工操作为主，无强噪声源，对环境影响不大。</w:t>
            </w:r>
          </w:p>
          <w:p>
            <w:pPr>
              <w:pStyle w:val="5"/>
            </w:pPr>
            <w:bookmarkStart w:id="68" w:name="_Toc11912"/>
            <w:bookmarkStart w:id="69" w:name="_Toc519840382"/>
            <w:bookmarkStart w:id="70" w:name="_Toc3825"/>
            <w:r>
              <w:rPr>
                <w:rFonts w:hint="eastAsia"/>
              </w:rPr>
              <w:t>固体废物</w:t>
            </w:r>
            <w:bookmarkEnd w:id="68"/>
            <w:bookmarkEnd w:id="69"/>
            <w:bookmarkEnd w:id="70"/>
          </w:p>
          <w:p>
            <w:pPr>
              <w:pStyle w:val="4"/>
              <w:rPr>
                <w:rFonts w:hint="eastAsia"/>
                <w:lang w:val="en-US" w:eastAsia="zh-CN"/>
              </w:rPr>
            </w:pPr>
            <w:r>
              <w:rPr>
                <w:rFonts w:hint="eastAsia"/>
                <w:lang w:val="en-US" w:eastAsia="zh-CN"/>
              </w:rPr>
              <w:t>本项目产生的固体废弃物主要有生产中产生的废原辅材料盛装桶、废水处理设施产生的污泥、一种花型印刷结束后产生的废弃印刷网版和职工生活垃圾。</w:t>
            </w:r>
            <w:r>
              <w:rPr>
                <w:rFonts w:hint="eastAsia"/>
                <w:sz w:val="24"/>
                <w:szCs w:val="24"/>
                <w:lang w:val="en-US" w:eastAsia="zh-CN"/>
              </w:rPr>
              <w:t>各类固体废物见表3.4-1。</w:t>
            </w:r>
          </w:p>
          <w:p>
            <w:pPr>
              <w:pStyle w:val="15"/>
              <w:rPr>
                <w:rFonts w:hint="default"/>
              </w:rPr>
            </w:pPr>
            <w:r>
              <w:rPr>
                <w:rFonts w:hint="default"/>
                <w:highlight w:val="none"/>
              </w:rPr>
              <w:t>表3.</w:t>
            </w:r>
            <w:r>
              <w:rPr>
                <w:rFonts w:hint="eastAsia"/>
                <w:highlight w:val="none"/>
                <w:lang w:val="en-US" w:eastAsia="zh-CN"/>
              </w:rPr>
              <w:t>4</w:t>
            </w:r>
            <w:r>
              <w:rPr>
                <w:rFonts w:hint="default"/>
                <w:highlight w:val="none"/>
              </w:rPr>
              <w:t>-1 固废产生量及处置方式</w:t>
            </w:r>
          </w:p>
          <w:tbl>
            <w:tblPr>
              <w:tblStyle w:val="3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801"/>
              <w:gridCol w:w="1555"/>
              <w:gridCol w:w="1442"/>
              <w:gridCol w:w="28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7" w:type="pct"/>
                  <w:vAlign w:val="center"/>
                </w:tcPr>
                <w:p>
                  <w:pPr>
                    <w:adjustRightInd w:val="0"/>
                    <w:snapToGrid w:val="0"/>
                    <w:jc w:val="center"/>
                    <w:rPr>
                      <w:rFonts w:hint="eastAsia"/>
                      <w:lang w:eastAsia="zh-CN"/>
                    </w:rPr>
                  </w:pPr>
                  <w:r>
                    <w:rPr>
                      <w:rFonts w:hint="eastAsia"/>
                      <w:lang w:val="en-US" w:eastAsia="zh-CN"/>
                    </w:rPr>
                    <w:t>类别</w:t>
                  </w:r>
                </w:p>
              </w:tc>
              <w:tc>
                <w:tcPr>
                  <w:tcW w:w="1034" w:type="pct"/>
                  <w:vAlign w:val="center"/>
                </w:tcPr>
                <w:p>
                  <w:pPr>
                    <w:adjustRightInd w:val="0"/>
                    <w:snapToGrid w:val="0"/>
                    <w:jc w:val="center"/>
                    <w:rPr>
                      <w:rFonts w:hint="default"/>
                      <w:lang w:val="en-US" w:eastAsia="zh-CN"/>
                    </w:rPr>
                  </w:pPr>
                  <w:r>
                    <w:rPr>
                      <w:rFonts w:hint="eastAsia"/>
                      <w:lang w:val="en-US" w:eastAsia="zh-CN"/>
                    </w:rPr>
                    <w:t>废物名称</w:t>
                  </w:r>
                </w:p>
              </w:tc>
              <w:tc>
                <w:tcPr>
                  <w:tcW w:w="893" w:type="pct"/>
                  <w:vAlign w:val="center"/>
                </w:tcPr>
                <w:p>
                  <w:pPr>
                    <w:adjustRightInd w:val="0"/>
                    <w:snapToGrid w:val="0"/>
                    <w:jc w:val="center"/>
                    <w:rPr>
                      <w:rFonts w:hint="default"/>
                      <w:lang w:val="en-US" w:eastAsia="zh-CN"/>
                    </w:rPr>
                  </w:pPr>
                  <w:r>
                    <w:rPr>
                      <w:rFonts w:hint="eastAsia"/>
                      <w:lang w:val="en-US" w:eastAsia="zh-CN"/>
                    </w:rPr>
                    <w:t>产生量</w:t>
                  </w:r>
                </w:p>
              </w:tc>
              <w:tc>
                <w:tcPr>
                  <w:tcW w:w="828" w:type="pct"/>
                  <w:vAlign w:val="center"/>
                </w:tcPr>
                <w:p>
                  <w:pPr>
                    <w:adjustRightInd w:val="0"/>
                    <w:snapToGrid w:val="0"/>
                    <w:jc w:val="center"/>
                    <w:rPr>
                      <w:rFonts w:hint="default"/>
                      <w:lang w:val="en-US" w:eastAsia="zh-CN"/>
                    </w:rPr>
                  </w:pPr>
                  <w:r>
                    <w:rPr>
                      <w:rFonts w:hint="eastAsia"/>
                      <w:lang w:val="en-US" w:eastAsia="zh-CN"/>
                    </w:rPr>
                    <w:t>排放量（t/a）</w:t>
                  </w:r>
                </w:p>
              </w:tc>
              <w:tc>
                <w:tcPr>
                  <w:tcW w:w="1616" w:type="pct"/>
                  <w:vAlign w:val="center"/>
                </w:tcPr>
                <w:p>
                  <w:pPr>
                    <w:adjustRightInd w:val="0"/>
                    <w:snapToGrid w:val="0"/>
                    <w:jc w:val="center"/>
                    <w:rPr>
                      <w:rFonts w:hint="default"/>
                      <w:lang w:val="en-US" w:eastAsia="zh-CN"/>
                    </w:rPr>
                  </w:pPr>
                  <w:r>
                    <w:rPr>
                      <w:rFonts w:hint="eastAsia"/>
                      <w:lang w:val="en-US" w:eastAsia="zh-CN"/>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7" w:type="pct"/>
                  <w:vMerge w:val="restart"/>
                  <w:vAlign w:val="center"/>
                </w:tcPr>
                <w:p>
                  <w:pPr>
                    <w:spacing w:before="60"/>
                    <w:jc w:val="center"/>
                    <w:rPr>
                      <w:rFonts w:hint="eastAsia" w:eastAsia="宋体"/>
                      <w:lang w:eastAsia="zh-CN"/>
                    </w:rPr>
                  </w:pPr>
                  <w:r>
                    <w:rPr>
                      <w:rFonts w:hint="eastAsia"/>
                      <w:lang w:eastAsia="zh-CN"/>
                    </w:rPr>
                    <w:t>一般工业固废</w:t>
                  </w:r>
                </w:p>
              </w:tc>
              <w:tc>
                <w:tcPr>
                  <w:tcW w:w="1034" w:type="pct"/>
                  <w:vAlign w:val="center"/>
                </w:tcPr>
                <w:p>
                  <w:pPr>
                    <w:spacing w:before="60"/>
                    <w:jc w:val="center"/>
                    <w:rPr>
                      <w:rFonts w:hint="eastAsia"/>
                      <w:lang w:val="en-US" w:eastAsia="zh-CN"/>
                    </w:rPr>
                  </w:pPr>
                  <w:r>
                    <w:rPr>
                      <w:rFonts w:hint="eastAsia"/>
                      <w:lang w:val="en-US" w:eastAsia="zh-CN"/>
                    </w:rPr>
                    <w:t>废弃印刷网版</w:t>
                  </w:r>
                </w:p>
              </w:tc>
              <w:tc>
                <w:tcPr>
                  <w:tcW w:w="893" w:type="pct"/>
                  <w:vAlign w:val="center"/>
                </w:tcPr>
                <w:p>
                  <w:pPr>
                    <w:spacing w:before="60"/>
                    <w:jc w:val="center"/>
                    <w:rPr>
                      <w:rFonts w:hint="default"/>
                      <w:lang w:val="en-US" w:eastAsia="zh-CN"/>
                    </w:rPr>
                  </w:pPr>
                  <w:r>
                    <w:rPr>
                      <w:rFonts w:hint="eastAsia"/>
                      <w:lang w:val="en-US" w:eastAsia="zh-CN"/>
                    </w:rPr>
                    <w:t>100个/年</w:t>
                  </w:r>
                </w:p>
              </w:tc>
              <w:tc>
                <w:tcPr>
                  <w:tcW w:w="828" w:type="pct"/>
                  <w:vAlign w:val="center"/>
                </w:tcPr>
                <w:p>
                  <w:pPr>
                    <w:spacing w:before="60"/>
                    <w:jc w:val="center"/>
                    <w:rPr>
                      <w:rFonts w:hint="default"/>
                      <w:lang w:val="en-US" w:eastAsia="zh-CN"/>
                    </w:rPr>
                  </w:pPr>
                  <w:r>
                    <w:rPr>
                      <w:rFonts w:hint="eastAsia"/>
                      <w:lang w:val="en-US" w:eastAsia="zh-CN"/>
                    </w:rPr>
                    <w:t>0</w:t>
                  </w:r>
                </w:p>
              </w:tc>
              <w:tc>
                <w:tcPr>
                  <w:tcW w:w="1616" w:type="pct"/>
                  <w:vAlign w:val="center"/>
                </w:tcPr>
                <w:p>
                  <w:pPr>
                    <w:spacing w:before="60"/>
                    <w:jc w:val="center"/>
                    <w:rPr>
                      <w:rFonts w:hint="eastAsia"/>
                      <w:lang w:val="en-US" w:eastAsia="zh-CN"/>
                    </w:rPr>
                  </w:pPr>
                  <w:r>
                    <w:rPr>
                      <w:rFonts w:hint="eastAsia"/>
                      <w:lang w:val="en-US" w:eastAsia="zh-CN"/>
                    </w:rPr>
                    <w:t>厂家回收利用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7" w:type="pct"/>
                  <w:vMerge w:val="continue"/>
                  <w:vAlign w:val="center"/>
                </w:tcPr>
                <w:p>
                  <w:pPr>
                    <w:spacing w:before="60"/>
                    <w:jc w:val="center"/>
                    <w:rPr>
                      <w:rFonts w:hint="eastAsia" w:eastAsia="宋体"/>
                      <w:lang w:eastAsia="zh-CN"/>
                    </w:rPr>
                  </w:pPr>
                </w:p>
              </w:tc>
              <w:tc>
                <w:tcPr>
                  <w:tcW w:w="1034" w:type="pct"/>
                  <w:vAlign w:val="center"/>
                </w:tcPr>
                <w:p>
                  <w:pPr>
                    <w:spacing w:before="60"/>
                    <w:jc w:val="center"/>
                    <w:rPr>
                      <w:rFonts w:hint="default"/>
                      <w:lang w:val="en-US" w:eastAsia="zh-CN"/>
                    </w:rPr>
                  </w:pPr>
                  <w:r>
                    <w:rPr>
                      <w:rFonts w:hint="eastAsia"/>
                      <w:lang w:val="en-US" w:eastAsia="zh-CN"/>
                    </w:rPr>
                    <w:t>生活垃圾</w:t>
                  </w:r>
                </w:p>
              </w:tc>
              <w:tc>
                <w:tcPr>
                  <w:tcW w:w="893" w:type="pct"/>
                  <w:vAlign w:val="center"/>
                </w:tcPr>
                <w:p>
                  <w:pPr>
                    <w:spacing w:before="60"/>
                    <w:jc w:val="center"/>
                    <w:rPr>
                      <w:rFonts w:hint="default"/>
                      <w:lang w:val="en-US" w:eastAsia="zh-CN"/>
                    </w:rPr>
                  </w:pPr>
                  <w:r>
                    <w:rPr>
                      <w:rFonts w:hint="eastAsia"/>
                      <w:lang w:val="en-US" w:eastAsia="zh-CN"/>
                    </w:rPr>
                    <w:t>0.2吨/年</w:t>
                  </w:r>
                </w:p>
              </w:tc>
              <w:tc>
                <w:tcPr>
                  <w:tcW w:w="828" w:type="pct"/>
                  <w:vAlign w:val="center"/>
                </w:tcPr>
                <w:p>
                  <w:pPr>
                    <w:spacing w:before="60"/>
                    <w:jc w:val="center"/>
                    <w:rPr>
                      <w:rFonts w:hint="default"/>
                      <w:lang w:val="en-US" w:eastAsia="zh-CN"/>
                    </w:rPr>
                  </w:pPr>
                  <w:r>
                    <w:rPr>
                      <w:rFonts w:hint="eastAsia"/>
                      <w:lang w:val="en-US" w:eastAsia="zh-CN"/>
                    </w:rPr>
                    <w:t>0</w:t>
                  </w:r>
                </w:p>
              </w:tc>
              <w:tc>
                <w:tcPr>
                  <w:tcW w:w="1616" w:type="pct"/>
                  <w:vAlign w:val="center"/>
                </w:tcPr>
                <w:p>
                  <w:pPr>
                    <w:spacing w:before="60"/>
                    <w:jc w:val="center"/>
                    <w:rPr>
                      <w:rFonts w:hint="default"/>
                      <w:lang w:val="en-US" w:eastAsia="zh-CN"/>
                    </w:rPr>
                  </w:pPr>
                  <w:r>
                    <w:rPr>
                      <w:rFonts w:hint="eastAsia"/>
                      <w:lang w:val="en-US" w:eastAsia="zh-CN"/>
                    </w:rPr>
                    <w:t>委托环卫部门清运、处置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7" w:type="pct"/>
                  <w:vMerge w:val="restart"/>
                  <w:vAlign w:val="center"/>
                </w:tcPr>
                <w:p>
                  <w:pPr>
                    <w:spacing w:before="60"/>
                    <w:jc w:val="center"/>
                    <w:rPr>
                      <w:rFonts w:hint="default"/>
                      <w:lang w:val="en-US" w:eastAsia="zh-CN"/>
                    </w:rPr>
                  </w:pPr>
                  <w:r>
                    <w:rPr>
                      <w:rFonts w:hint="eastAsia"/>
                      <w:lang w:val="en-US" w:eastAsia="zh-CN"/>
                    </w:rPr>
                    <w:t>危险废物</w:t>
                  </w:r>
                </w:p>
              </w:tc>
              <w:tc>
                <w:tcPr>
                  <w:tcW w:w="1034" w:type="pct"/>
                  <w:vAlign w:val="center"/>
                </w:tcPr>
                <w:p>
                  <w:pPr>
                    <w:spacing w:before="60"/>
                    <w:jc w:val="center"/>
                    <w:rPr>
                      <w:rFonts w:hint="default"/>
                      <w:lang w:val="en-US" w:eastAsia="zh-CN"/>
                    </w:rPr>
                  </w:pPr>
                  <w:r>
                    <w:rPr>
                      <w:rFonts w:hint="eastAsia"/>
                      <w:lang w:val="en-US" w:eastAsia="zh-CN"/>
                    </w:rPr>
                    <w:t>废原辅材料盛装桶</w:t>
                  </w:r>
                </w:p>
              </w:tc>
              <w:tc>
                <w:tcPr>
                  <w:tcW w:w="893" w:type="pct"/>
                  <w:vAlign w:val="center"/>
                </w:tcPr>
                <w:p>
                  <w:pPr>
                    <w:spacing w:before="60"/>
                    <w:jc w:val="center"/>
                    <w:rPr>
                      <w:rFonts w:hint="default"/>
                      <w:lang w:val="en-US" w:eastAsia="zh-CN"/>
                    </w:rPr>
                  </w:pPr>
                  <w:r>
                    <w:rPr>
                      <w:rFonts w:hint="eastAsia"/>
                      <w:lang w:val="en-US" w:eastAsia="zh-CN"/>
                    </w:rPr>
                    <w:t>100米/年</w:t>
                  </w:r>
                </w:p>
              </w:tc>
              <w:tc>
                <w:tcPr>
                  <w:tcW w:w="828" w:type="pct"/>
                  <w:vAlign w:val="center"/>
                </w:tcPr>
                <w:p>
                  <w:pPr>
                    <w:spacing w:before="60"/>
                    <w:jc w:val="center"/>
                    <w:rPr>
                      <w:rFonts w:hint="default"/>
                      <w:lang w:val="en-US" w:eastAsia="zh-CN"/>
                    </w:rPr>
                  </w:pPr>
                  <w:r>
                    <w:rPr>
                      <w:rFonts w:hint="eastAsia"/>
                      <w:lang w:val="en-US" w:eastAsia="zh-CN"/>
                    </w:rPr>
                    <w:t>0</w:t>
                  </w:r>
                </w:p>
              </w:tc>
              <w:tc>
                <w:tcPr>
                  <w:tcW w:w="1616" w:type="pct"/>
                  <w:vAlign w:val="center"/>
                </w:tcPr>
                <w:p>
                  <w:pPr>
                    <w:spacing w:before="60"/>
                    <w:jc w:val="center"/>
                    <w:rPr>
                      <w:rFonts w:hint="default"/>
                      <w:lang w:val="en-US" w:eastAsia="zh-CN"/>
                    </w:rPr>
                  </w:pPr>
                  <w:r>
                    <w:rPr>
                      <w:rFonts w:hint="eastAsia"/>
                      <w:lang w:val="en-US" w:eastAsia="zh-CN"/>
                    </w:rPr>
                    <w:t>厂家回收利用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7" w:type="pct"/>
                  <w:vMerge w:val="continue"/>
                  <w:vAlign w:val="center"/>
                </w:tcPr>
                <w:p>
                  <w:pPr>
                    <w:spacing w:before="60"/>
                    <w:jc w:val="center"/>
                    <w:rPr>
                      <w:rFonts w:hint="eastAsia"/>
                      <w:lang w:val="en-US" w:eastAsia="zh-CN"/>
                    </w:rPr>
                  </w:pPr>
                </w:p>
              </w:tc>
              <w:tc>
                <w:tcPr>
                  <w:tcW w:w="1034" w:type="pct"/>
                  <w:vAlign w:val="center"/>
                </w:tcPr>
                <w:p>
                  <w:pPr>
                    <w:spacing w:before="60"/>
                    <w:jc w:val="center"/>
                    <w:rPr>
                      <w:rFonts w:hint="eastAsia"/>
                      <w:lang w:val="en-US" w:eastAsia="zh-CN"/>
                    </w:rPr>
                  </w:pPr>
                  <w:r>
                    <w:rPr>
                      <w:rFonts w:hint="eastAsia"/>
                      <w:lang w:val="en-US" w:eastAsia="zh-CN"/>
                    </w:rPr>
                    <w:t>污泥</w:t>
                  </w:r>
                </w:p>
              </w:tc>
              <w:tc>
                <w:tcPr>
                  <w:tcW w:w="893" w:type="pct"/>
                  <w:vAlign w:val="center"/>
                </w:tcPr>
                <w:p>
                  <w:pPr>
                    <w:spacing w:before="60"/>
                    <w:jc w:val="center"/>
                    <w:rPr>
                      <w:rFonts w:hint="default"/>
                      <w:lang w:val="en-US" w:eastAsia="zh-CN"/>
                    </w:rPr>
                  </w:pPr>
                  <w:r>
                    <w:rPr>
                      <w:rFonts w:hint="eastAsia"/>
                      <w:lang w:val="en-US" w:eastAsia="zh-CN"/>
                    </w:rPr>
                    <w:t>35公斤/年</w:t>
                  </w:r>
                </w:p>
              </w:tc>
              <w:tc>
                <w:tcPr>
                  <w:tcW w:w="828" w:type="pct"/>
                  <w:vAlign w:val="center"/>
                </w:tcPr>
                <w:p>
                  <w:pPr>
                    <w:spacing w:before="60"/>
                    <w:jc w:val="center"/>
                    <w:rPr>
                      <w:rFonts w:hint="default"/>
                      <w:lang w:val="en-US" w:eastAsia="zh-CN"/>
                    </w:rPr>
                  </w:pPr>
                  <w:r>
                    <w:rPr>
                      <w:rFonts w:hint="eastAsia"/>
                      <w:lang w:val="en-US" w:eastAsia="zh-CN"/>
                    </w:rPr>
                    <w:t>0</w:t>
                  </w:r>
                </w:p>
              </w:tc>
              <w:tc>
                <w:tcPr>
                  <w:tcW w:w="1616" w:type="pct"/>
                  <w:vAlign w:val="center"/>
                </w:tcPr>
                <w:p>
                  <w:pPr>
                    <w:spacing w:before="60"/>
                    <w:jc w:val="center"/>
                    <w:rPr>
                      <w:rFonts w:hint="eastAsia"/>
                      <w:lang w:val="en-US" w:eastAsia="zh-CN"/>
                    </w:rPr>
                  </w:pPr>
                  <w:r>
                    <w:rPr>
                      <w:rFonts w:hint="eastAsia"/>
                      <w:lang w:val="en-US" w:eastAsia="zh-CN"/>
                    </w:rPr>
                    <w:t>定期交</w:t>
                  </w:r>
                  <w:r>
                    <w:rPr>
                      <w:rFonts w:hint="eastAsia"/>
                      <w:bCs/>
                      <w:color w:val="auto"/>
                      <w:lang w:val="en-US" w:eastAsia="zh-CN"/>
                    </w:rPr>
                    <w:t>宁波甬润再生资源回收有限公司</w:t>
                  </w:r>
                  <w:r>
                    <w:rPr>
                      <w:rFonts w:hint="eastAsia"/>
                      <w:lang w:val="en-US" w:eastAsia="zh-CN"/>
                    </w:rPr>
                    <w:t>清运处理</w:t>
                  </w:r>
                </w:p>
              </w:tc>
            </w:tr>
          </w:tbl>
          <w:p>
            <w:pPr>
              <w:pStyle w:val="4"/>
              <w:rPr>
                <w:rFonts w:hint="eastAsia"/>
                <w:lang w:val="en-US" w:eastAsia="zh-CN"/>
              </w:rPr>
            </w:pPr>
          </w:p>
          <w:p>
            <w:pPr>
              <w:pStyle w:val="5"/>
            </w:pPr>
            <w:bookmarkStart w:id="71" w:name="_Toc24461"/>
            <w:bookmarkStart w:id="72" w:name="_Toc14397"/>
            <w:r>
              <w:rPr>
                <w:rFonts w:hint="eastAsia"/>
              </w:rPr>
              <w:t>环保设施投资及“三同时”落实情况</w:t>
            </w:r>
            <w:bookmarkEnd w:id="71"/>
            <w:bookmarkEnd w:id="72"/>
          </w:p>
          <w:p>
            <w:pPr>
              <w:pStyle w:val="4"/>
            </w:pPr>
            <w:r>
              <w:t>1）</w:t>
            </w:r>
            <w:r>
              <w:rPr>
                <w:rFonts w:hint="eastAsia"/>
              </w:rPr>
              <w:t>环保设施投资</w:t>
            </w:r>
          </w:p>
          <w:p>
            <w:pPr>
              <w:pStyle w:val="4"/>
              <w:rPr>
                <w:rFonts w:hint="eastAsia"/>
                <w:lang w:val="en-US" w:eastAsia="zh-CN"/>
              </w:rPr>
            </w:pPr>
            <w:r>
              <w:rPr>
                <w:rFonts w:hint="eastAsia"/>
                <w:lang w:val="en-US" w:eastAsia="zh-CN"/>
              </w:rPr>
              <w:t>本项目环保设施实际投资具体见表3.5-1。</w:t>
            </w:r>
          </w:p>
          <w:p>
            <w:pPr>
              <w:spacing w:line="360" w:lineRule="exact"/>
              <w:jc w:val="center"/>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表3.</w:t>
            </w:r>
            <w:r>
              <w:rPr>
                <w:rFonts w:hint="eastAsia" w:asciiTheme="majorEastAsia" w:hAnsiTheme="majorEastAsia" w:eastAsiaTheme="majorEastAsia" w:cstheme="majorEastAsia"/>
                <w:b/>
                <w:bCs/>
                <w:sz w:val="24"/>
                <w:szCs w:val="24"/>
                <w:highlight w:val="none"/>
                <w:lang w:val="en-US" w:eastAsia="zh-CN"/>
              </w:rPr>
              <w:t>5</w:t>
            </w:r>
            <w:r>
              <w:rPr>
                <w:rFonts w:hint="eastAsia" w:asciiTheme="majorEastAsia" w:hAnsiTheme="majorEastAsia" w:eastAsiaTheme="majorEastAsia" w:cstheme="majorEastAsia"/>
                <w:b/>
                <w:bCs/>
                <w:sz w:val="24"/>
                <w:szCs w:val="24"/>
                <w:highlight w:val="none"/>
              </w:rPr>
              <w:t>-1 环保设施投资一览表</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498"/>
              <w:gridCol w:w="1907"/>
              <w:gridCol w:w="2503"/>
              <w:gridCol w:w="2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5" w:type="pct"/>
                  <w:tcBorders>
                    <w:top w:val="single" w:color="auto" w:sz="12" w:space="0"/>
                    <w:bottom w:val="single" w:color="auto" w:sz="12" w:space="0"/>
                  </w:tcBorders>
                  <w:vAlign w:val="center"/>
                </w:tcPr>
                <w:p>
                  <w:pPr>
                    <w:widowControl/>
                    <w:jc w:val="center"/>
                  </w:pPr>
                  <w:r>
                    <w:t>序号</w:t>
                  </w:r>
                </w:p>
              </w:tc>
              <w:tc>
                <w:tcPr>
                  <w:tcW w:w="860" w:type="pct"/>
                  <w:tcBorders>
                    <w:top w:val="single" w:color="auto" w:sz="12" w:space="0"/>
                    <w:bottom w:val="single" w:color="auto" w:sz="12" w:space="0"/>
                  </w:tcBorders>
                  <w:vAlign w:val="center"/>
                </w:tcPr>
                <w:p>
                  <w:pPr>
                    <w:widowControl/>
                    <w:jc w:val="center"/>
                  </w:pPr>
                  <w:r>
                    <w:t>项目名称</w:t>
                  </w:r>
                </w:p>
              </w:tc>
              <w:tc>
                <w:tcPr>
                  <w:tcW w:w="1095" w:type="pct"/>
                  <w:tcBorders>
                    <w:top w:val="single" w:color="auto" w:sz="12" w:space="0"/>
                    <w:bottom w:val="single" w:color="auto" w:sz="12" w:space="0"/>
                  </w:tcBorders>
                  <w:vAlign w:val="center"/>
                </w:tcPr>
                <w:p>
                  <w:pPr>
                    <w:widowControl/>
                    <w:jc w:val="center"/>
                  </w:pPr>
                  <w:r>
                    <w:t>环评预计环保投资(万元)</w:t>
                  </w:r>
                </w:p>
              </w:tc>
              <w:tc>
                <w:tcPr>
                  <w:tcW w:w="1437" w:type="pct"/>
                  <w:tcBorders>
                    <w:top w:val="single" w:color="auto" w:sz="12" w:space="0"/>
                    <w:bottom w:val="single" w:color="auto" w:sz="12" w:space="0"/>
                  </w:tcBorders>
                  <w:vAlign w:val="center"/>
                </w:tcPr>
                <w:p>
                  <w:pPr>
                    <w:widowControl/>
                    <w:jc w:val="center"/>
                  </w:pPr>
                  <w:r>
                    <w:t>实际投入建设环保投资(万元)</w:t>
                  </w:r>
                </w:p>
              </w:tc>
              <w:tc>
                <w:tcPr>
                  <w:tcW w:w="1180" w:type="pct"/>
                  <w:tcBorders>
                    <w:top w:val="single" w:color="auto" w:sz="12" w:space="0"/>
                    <w:bottom w:val="single" w:color="auto" w:sz="12" w:space="0"/>
                  </w:tcBorders>
                  <w:vAlign w:val="center"/>
                </w:tcPr>
                <w:p>
                  <w:pPr>
                    <w:widowControl/>
                    <w:jc w:val="center"/>
                  </w:pPr>
                  <w:r>
                    <w:rPr>
                      <w:rFonts w:hint="eastAsi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5" w:type="pct"/>
                  <w:tcBorders>
                    <w:top w:val="single" w:color="auto" w:sz="12" w:space="0"/>
                  </w:tcBorders>
                  <w:vAlign w:val="center"/>
                </w:tcPr>
                <w:p>
                  <w:pPr>
                    <w:jc w:val="center"/>
                  </w:pPr>
                  <w:r>
                    <w:t>1</w:t>
                  </w:r>
                </w:p>
              </w:tc>
              <w:tc>
                <w:tcPr>
                  <w:tcW w:w="860" w:type="pct"/>
                  <w:tcBorders>
                    <w:top w:val="single" w:color="auto" w:sz="12" w:space="0"/>
                  </w:tcBorders>
                  <w:vAlign w:val="center"/>
                </w:tcPr>
                <w:p>
                  <w:pPr>
                    <w:pStyle w:val="59"/>
                    <w:rPr>
                      <w:rFonts w:hint="default"/>
                      <w:lang w:val="en-US" w:eastAsia="zh-CN"/>
                    </w:rPr>
                  </w:pPr>
                  <w:r>
                    <w:rPr>
                      <w:rFonts w:hint="eastAsia"/>
                      <w:lang w:val="en-US" w:eastAsia="zh-CN"/>
                    </w:rPr>
                    <w:t>废气处理装置</w:t>
                  </w:r>
                </w:p>
              </w:tc>
              <w:tc>
                <w:tcPr>
                  <w:tcW w:w="1095" w:type="pct"/>
                  <w:tcBorders>
                    <w:top w:val="single" w:color="auto" w:sz="12" w:space="0"/>
                  </w:tcBorders>
                  <w:vAlign w:val="center"/>
                </w:tcPr>
                <w:p>
                  <w:pPr>
                    <w:pStyle w:val="59"/>
                    <w:rPr>
                      <w:rFonts w:hint="default"/>
                      <w:lang w:val="en-US" w:eastAsia="zh-CN"/>
                    </w:rPr>
                  </w:pPr>
                  <w:r>
                    <w:rPr>
                      <w:rFonts w:hint="eastAsia"/>
                      <w:lang w:val="en-US" w:eastAsia="zh-CN"/>
                    </w:rPr>
                    <w:t>2</w:t>
                  </w:r>
                </w:p>
              </w:tc>
              <w:tc>
                <w:tcPr>
                  <w:tcW w:w="1437" w:type="pct"/>
                  <w:tcBorders>
                    <w:top w:val="single" w:color="auto" w:sz="12" w:space="0"/>
                  </w:tcBorders>
                  <w:vAlign w:val="center"/>
                </w:tcPr>
                <w:p>
                  <w:pPr>
                    <w:pStyle w:val="59"/>
                    <w:rPr>
                      <w:rFonts w:hint="default" w:eastAsia="宋体"/>
                      <w:lang w:val="en-US" w:eastAsia="zh-CN"/>
                    </w:rPr>
                  </w:pPr>
                  <w:r>
                    <w:rPr>
                      <w:rFonts w:hint="eastAsia"/>
                      <w:lang w:val="en-US" w:eastAsia="zh-CN"/>
                    </w:rPr>
                    <w:t>2</w:t>
                  </w:r>
                </w:p>
              </w:tc>
              <w:tc>
                <w:tcPr>
                  <w:tcW w:w="1180" w:type="pct"/>
                  <w:tcBorders>
                    <w:top w:val="single" w:color="auto" w:sz="12" w:space="0"/>
                  </w:tcBorders>
                  <w:vAlign w:val="center"/>
                </w:tcPr>
                <w:p>
                  <w:pPr>
                    <w:pStyle w:val="59"/>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5" w:type="pct"/>
                  <w:tcBorders>
                    <w:top w:val="single" w:color="auto" w:sz="12" w:space="0"/>
                  </w:tcBorders>
                  <w:vAlign w:val="center"/>
                </w:tcPr>
                <w:p>
                  <w:pPr>
                    <w:jc w:val="center"/>
                    <w:rPr>
                      <w:rFonts w:hint="eastAsia" w:eastAsia="宋体"/>
                      <w:lang w:val="en-US" w:eastAsia="zh-CN"/>
                    </w:rPr>
                  </w:pPr>
                  <w:r>
                    <w:rPr>
                      <w:rFonts w:hint="eastAsia"/>
                      <w:lang w:val="en-US" w:eastAsia="zh-CN"/>
                    </w:rPr>
                    <w:t>2</w:t>
                  </w:r>
                </w:p>
              </w:tc>
              <w:tc>
                <w:tcPr>
                  <w:tcW w:w="860" w:type="pct"/>
                  <w:tcBorders>
                    <w:top w:val="single" w:color="auto" w:sz="12" w:space="0"/>
                  </w:tcBorders>
                  <w:vAlign w:val="center"/>
                </w:tcPr>
                <w:p>
                  <w:pPr>
                    <w:pStyle w:val="59"/>
                    <w:rPr>
                      <w:rFonts w:hint="eastAsia"/>
                      <w:lang w:val="en-US" w:eastAsia="zh-CN"/>
                    </w:rPr>
                  </w:pPr>
                  <w:r>
                    <w:rPr>
                      <w:rFonts w:hint="eastAsia"/>
                      <w:lang w:val="en-US" w:eastAsia="zh-CN"/>
                    </w:rPr>
                    <w:t>废水处理装置</w:t>
                  </w:r>
                </w:p>
              </w:tc>
              <w:tc>
                <w:tcPr>
                  <w:tcW w:w="1095" w:type="pct"/>
                  <w:tcBorders>
                    <w:top w:val="single" w:color="auto" w:sz="12" w:space="0"/>
                  </w:tcBorders>
                  <w:vAlign w:val="center"/>
                </w:tcPr>
                <w:p>
                  <w:pPr>
                    <w:pStyle w:val="59"/>
                    <w:rPr>
                      <w:rFonts w:hint="default"/>
                      <w:lang w:val="en-US" w:eastAsia="zh-CN"/>
                    </w:rPr>
                  </w:pPr>
                  <w:r>
                    <w:rPr>
                      <w:rFonts w:hint="eastAsia"/>
                      <w:lang w:val="en-US" w:eastAsia="zh-CN"/>
                    </w:rPr>
                    <w:t>1</w:t>
                  </w:r>
                </w:p>
              </w:tc>
              <w:tc>
                <w:tcPr>
                  <w:tcW w:w="1437" w:type="pct"/>
                  <w:tcBorders>
                    <w:top w:val="single" w:color="auto" w:sz="12" w:space="0"/>
                  </w:tcBorders>
                  <w:vAlign w:val="center"/>
                </w:tcPr>
                <w:p>
                  <w:pPr>
                    <w:pStyle w:val="59"/>
                    <w:rPr>
                      <w:rFonts w:hint="default"/>
                      <w:lang w:val="en-US" w:eastAsia="zh-CN"/>
                    </w:rPr>
                  </w:pPr>
                  <w:r>
                    <w:rPr>
                      <w:rFonts w:hint="eastAsia"/>
                      <w:lang w:val="en-US" w:eastAsia="zh-CN"/>
                    </w:rPr>
                    <w:t>1</w:t>
                  </w:r>
                </w:p>
              </w:tc>
              <w:tc>
                <w:tcPr>
                  <w:tcW w:w="1180" w:type="pct"/>
                  <w:tcBorders>
                    <w:top w:val="single" w:color="auto" w:sz="12" w:space="0"/>
                  </w:tcBorders>
                  <w:vAlign w:val="center"/>
                </w:tcPr>
                <w:p>
                  <w:pPr>
                    <w:pStyle w:val="59"/>
                    <w:rPr>
                      <w:rFonts w:hint="eastAsia" w:eastAsia="宋体"/>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5" w:type="pct"/>
                  <w:vAlign w:val="center"/>
                </w:tcPr>
                <w:p>
                  <w:pPr>
                    <w:widowControl/>
                    <w:jc w:val="center"/>
                    <w:rPr>
                      <w:rFonts w:hint="default" w:eastAsia="宋体"/>
                      <w:lang w:val="en-US" w:eastAsia="zh-CN"/>
                    </w:rPr>
                  </w:pPr>
                  <w:r>
                    <w:rPr>
                      <w:rFonts w:hint="eastAsia"/>
                      <w:lang w:val="en-US" w:eastAsia="zh-CN"/>
                    </w:rPr>
                    <w:t>3</w:t>
                  </w:r>
                </w:p>
              </w:tc>
              <w:tc>
                <w:tcPr>
                  <w:tcW w:w="860" w:type="pct"/>
                  <w:vAlign w:val="center"/>
                </w:tcPr>
                <w:p>
                  <w:pPr>
                    <w:widowControl/>
                    <w:jc w:val="center"/>
                    <w:rPr>
                      <w:lang w:val="en-US" w:eastAsia="zh-CN"/>
                    </w:rPr>
                  </w:pPr>
                  <w:r>
                    <w:rPr>
                      <w:rFonts w:hint="eastAsia"/>
                    </w:rPr>
                    <w:t>合计</w:t>
                  </w:r>
                </w:p>
              </w:tc>
              <w:tc>
                <w:tcPr>
                  <w:tcW w:w="1095" w:type="pct"/>
                  <w:vAlign w:val="center"/>
                </w:tcPr>
                <w:p>
                  <w:pPr>
                    <w:widowControl/>
                    <w:jc w:val="center"/>
                    <w:rPr>
                      <w:rFonts w:hint="default"/>
                      <w:lang w:val="en-US" w:eastAsia="zh-CN"/>
                    </w:rPr>
                  </w:pPr>
                  <w:r>
                    <w:rPr>
                      <w:rFonts w:hint="eastAsia"/>
                      <w:lang w:val="en-US" w:eastAsia="zh-CN"/>
                    </w:rPr>
                    <w:t>3</w:t>
                  </w:r>
                </w:p>
              </w:tc>
              <w:tc>
                <w:tcPr>
                  <w:tcW w:w="1437" w:type="pct"/>
                  <w:vAlign w:val="center"/>
                </w:tcPr>
                <w:p>
                  <w:pPr>
                    <w:widowControl/>
                    <w:jc w:val="center"/>
                    <w:rPr>
                      <w:rFonts w:hint="default" w:eastAsia="宋体"/>
                      <w:lang w:val="en-US" w:eastAsia="zh-CN"/>
                    </w:rPr>
                  </w:pPr>
                  <w:r>
                    <w:rPr>
                      <w:rFonts w:hint="eastAsia"/>
                      <w:lang w:val="en-US" w:eastAsia="zh-CN"/>
                    </w:rPr>
                    <w:t>3</w:t>
                  </w:r>
                </w:p>
              </w:tc>
              <w:tc>
                <w:tcPr>
                  <w:tcW w:w="1180" w:type="pct"/>
                  <w:vAlign w:val="center"/>
                </w:tcPr>
                <w:p>
                  <w:pPr>
                    <w:pStyle w:val="59"/>
                  </w:pPr>
                  <w:r>
                    <w:rPr>
                      <w:rFonts w:hint="eastAsia"/>
                    </w:rPr>
                    <w:t>/</w:t>
                  </w:r>
                </w:p>
              </w:tc>
            </w:tr>
          </w:tbl>
          <w:p>
            <w:pPr>
              <w:spacing w:line="360" w:lineRule="auto"/>
              <w:ind w:firstLine="480" w:firstLineChars="200"/>
              <w:rPr>
                <w:sz w:val="24"/>
                <w:szCs w:val="24"/>
              </w:rPr>
            </w:pPr>
            <w:r>
              <w:rPr>
                <w:sz w:val="24"/>
                <w:szCs w:val="24"/>
              </w:rPr>
              <w:t>2）</w:t>
            </w:r>
            <w:r>
              <w:rPr>
                <w:rFonts w:hint="eastAsia"/>
                <w:sz w:val="24"/>
                <w:szCs w:val="24"/>
              </w:rPr>
              <w:t>环保设施“三同时”落实情况</w:t>
            </w:r>
          </w:p>
          <w:p>
            <w:pPr>
              <w:spacing w:line="360" w:lineRule="auto"/>
              <w:ind w:firstLine="480" w:firstLineChars="200"/>
              <w:rPr>
                <w:sz w:val="24"/>
                <w:szCs w:val="24"/>
              </w:rPr>
            </w:pPr>
            <w:r>
              <w:rPr>
                <w:sz w:val="24"/>
                <w:szCs w:val="24"/>
              </w:rPr>
              <w:t>本项目基本执行了竣工环保</w:t>
            </w:r>
            <w:r>
              <w:rPr>
                <w:rFonts w:hint="eastAsia"/>
                <w:sz w:val="24"/>
                <w:szCs w:val="24"/>
                <w:lang w:eastAsia="zh-CN"/>
              </w:rPr>
              <w:t>“</w:t>
            </w:r>
            <w:r>
              <w:rPr>
                <w:sz w:val="24"/>
                <w:szCs w:val="24"/>
              </w:rPr>
              <w:t>三同时</w:t>
            </w:r>
            <w:r>
              <w:rPr>
                <w:rFonts w:hint="eastAsia"/>
                <w:sz w:val="24"/>
                <w:szCs w:val="24"/>
                <w:lang w:eastAsia="zh-CN"/>
              </w:rPr>
              <w:t>”</w:t>
            </w:r>
            <w:r>
              <w:rPr>
                <w:sz w:val="24"/>
                <w:szCs w:val="24"/>
              </w:rPr>
              <w:t>的有关规定。做到了环保设施与项目同时设计、同时施工、同时投入运行。与本项目有关的环保设施“三同时”落实情况如表3.</w:t>
            </w:r>
            <w:r>
              <w:rPr>
                <w:rFonts w:hint="eastAsia"/>
                <w:sz w:val="24"/>
                <w:szCs w:val="24"/>
                <w:lang w:val="en-US" w:eastAsia="zh-CN"/>
              </w:rPr>
              <w:t>5</w:t>
            </w:r>
            <w:r>
              <w:rPr>
                <w:sz w:val="24"/>
                <w:szCs w:val="24"/>
              </w:rPr>
              <w:t>-2</w:t>
            </w:r>
            <w:r>
              <w:rPr>
                <w:rFonts w:hint="eastAsia"/>
                <w:sz w:val="24"/>
                <w:szCs w:val="24"/>
              </w:rPr>
              <w:t>。</w:t>
            </w:r>
          </w:p>
          <w:p>
            <w:pPr>
              <w:pStyle w:val="15"/>
              <w:rPr>
                <w:rFonts w:hint="default" w:ascii="Times New Roman" w:hAnsi="Times New Roman" w:eastAsia="宋体" w:cs="Times New Roman"/>
              </w:rPr>
            </w:pPr>
            <w:r>
              <w:rPr>
                <w:rFonts w:hint="default" w:ascii="Times New Roman" w:hAnsi="Times New Roman" w:eastAsia="宋体" w:cs="Times New Roman"/>
                <w:lang w:val="en-US" w:eastAsia="zh-CN"/>
              </w:rPr>
              <w:t>表3.5-2 环保设施“三同时”落实情况一览表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70"/>
              <w:gridCol w:w="1262"/>
              <w:gridCol w:w="1770"/>
              <w:gridCol w:w="2664"/>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tcBorders>
                    <w:bottom w:val="single" w:color="auto" w:sz="12" w:space="0"/>
                  </w:tcBorders>
                  <w:vAlign w:val="center"/>
                </w:tcPr>
                <w:p>
                  <w:pPr>
                    <w:pStyle w:val="59"/>
                  </w:pPr>
                  <w:r>
                    <w:rPr>
                      <w:rFonts w:hint="eastAsia"/>
                    </w:rPr>
                    <w:t>序号</w:t>
                  </w:r>
                </w:p>
              </w:tc>
              <w:tc>
                <w:tcPr>
                  <w:tcW w:w="385" w:type="pct"/>
                  <w:tcBorders>
                    <w:bottom w:val="single" w:color="auto" w:sz="12" w:space="0"/>
                  </w:tcBorders>
                  <w:vAlign w:val="center"/>
                </w:tcPr>
                <w:p>
                  <w:pPr>
                    <w:pStyle w:val="59"/>
                    <w:rPr>
                      <w:rFonts w:hint="eastAsia"/>
                      <w:lang w:val="en-US" w:eastAsia="zh-CN"/>
                    </w:rPr>
                  </w:pPr>
                  <w:r>
                    <w:rPr>
                      <w:rFonts w:hint="eastAsia"/>
                      <w:lang w:val="en-US" w:eastAsia="zh-CN"/>
                    </w:rPr>
                    <w:t>内容</w:t>
                  </w:r>
                </w:p>
              </w:tc>
              <w:tc>
                <w:tcPr>
                  <w:tcW w:w="725" w:type="pct"/>
                  <w:tcBorders>
                    <w:bottom w:val="single" w:color="auto" w:sz="12" w:space="0"/>
                  </w:tcBorders>
                  <w:vAlign w:val="center"/>
                </w:tcPr>
                <w:p>
                  <w:pPr>
                    <w:pStyle w:val="59"/>
                    <w:rPr>
                      <w:lang w:val="en-US" w:eastAsia="zh-CN"/>
                    </w:rPr>
                  </w:pPr>
                  <w:r>
                    <w:rPr>
                      <w:rFonts w:hint="eastAsia"/>
                      <w:lang w:val="en-US" w:eastAsia="zh-CN"/>
                    </w:rPr>
                    <w:t>排放源</w:t>
                  </w:r>
                </w:p>
              </w:tc>
              <w:tc>
                <w:tcPr>
                  <w:tcW w:w="1016" w:type="pct"/>
                  <w:tcBorders>
                    <w:bottom w:val="single" w:color="auto" w:sz="12" w:space="0"/>
                  </w:tcBorders>
                  <w:vAlign w:val="center"/>
                </w:tcPr>
                <w:p>
                  <w:pPr>
                    <w:pStyle w:val="59"/>
                    <w:rPr>
                      <w:lang w:val="en-US" w:eastAsia="zh-CN"/>
                    </w:rPr>
                  </w:pPr>
                  <w:r>
                    <w:rPr>
                      <w:rFonts w:hint="eastAsia"/>
                    </w:rPr>
                    <w:t>污染物名称</w:t>
                  </w:r>
                </w:p>
              </w:tc>
              <w:tc>
                <w:tcPr>
                  <w:tcW w:w="1528" w:type="pct"/>
                  <w:tcBorders>
                    <w:bottom w:val="single" w:color="auto" w:sz="12" w:space="0"/>
                  </w:tcBorders>
                  <w:vAlign w:val="center"/>
                </w:tcPr>
                <w:p>
                  <w:pPr>
                    <w:pStyle w:val="59"/>
                    <w:rPr>
                      <w:lang w:val="en-US" w:eastAsia="zh-CN"/>
                    </w:rPr>
                  </w:pPr>
                  <w:r>
                    <w:rPr>
                      <w:rFonts w:hint="eastAsia"/>
                    </w:rPr>
                    <w:t>环评相关内容</w:t>
                  </w:r>
                </w:p>
              </w:tc>
              <w:tc>
                <w:tcPr>
                  <w:tcW w:w="1100" w:type="pct"/>
                  <w:tcBorders>
                    <w:bottom w:val="single" w:color="auto" w:sz="12" w:space="0"/>
                  </w:tcBorders>
                  <w:vAlign w:val="center"/>
                </w:tcPr>
                <w:p>
                  <w:pPr>
                    <w:pStyle w:val="59"/>
                  </w:pPr>
                  <w:r>
                    <w:rPr>
                      <w:rFonts w:hint="eastAsia"/>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vAlign w:val="center"/>
                </w:tcPr>
                <w:p>
                  <w:pPr>
                    <w:pStyle w:val="59"/>
                    <w:rPr>
                      <w:rFonts w:hint="default"/>
                      <w:lang w:val="en-US" w:eastAsia="zh-CN"/>
                    </w:rPr>
                  </w:pPr>
                  <w:r>
                    <w:rPr>
                      <w:rFonts w:hint="eastAsia"/>
                      <w:lang w:val="en-US" w:eastAsia="zh-CN"/>
                    </w:rPr>
                    <w:t>1</w:t>
                  </w:r>
                </w:p>
              </w:tc>
              <w:tc>
                <w:tcPr>
                  <w:tcW w:w="385" w:type="pct"/>
                  <w:vAlign w:val="center"/>
                </w:tcPr>
                <w:p>
                  <w:pPr>
                    <w:pStyle w:val="59"/>
                    <w:rPr>
                      <w:rFonts w:hint="eastAsia" w:eastAsia="宋体"/>
                      <w:lang w:eastAsia="zh-CN"/>
                    </w:rPr>
                  </w:pPr>
                  <w:r>
                    <w:rPr>
                      <w:rFonts w:hint="eastAsia"/>
                      <w:lang w:eastAsia="zh-CN"/>
                    </w:rPr>
                    <w:t>废气</w:t>
                  </w:r>
                </w:p>
              </w:tc>
              <w:tc>
                <w:tcPr>
                  <w:tcW w:w="725" w:type="pct"/>
                  <w:vAlign w:val="center"/>
                </w:tcPr>
                <w:p>
                  <w:pPr>
                    <w:pStyle w:val="59"/>
                    <w:rPr>
                      <w:rFonts w:hint="eastAsia"/>
                      <w:lang w:eastAsia="zh-CN"/>
                    </w:rPr>
                  </w:pPr>
                  <w:r>
                    <w:rPr>
                      <w:rFonts w:hint="eastAsia"/>
                      <w:lang w:eastAsia="zh-CN"/>
                    </w:rPr>
                    <w:t>印花废气</w:t>
                  </w:r>
                </w:p>
              </w:tc>
              <w:tc>
                <w:tcPr>
                  <w:tcW w:w="1016" w:type="pct"/>
                  <w:vAlign w:val="center"/>
                </w:tcPr>
                <w:p>
                  <w:pPr>
                    <w:adjustRightInd w:val="0"/>
                    <w:snapToGrid w:val="0"/>
                    <w:jc w:val="center"/>
                    <w:rPr>
                      <w:rFonts w:hint="eastAsia"/>
                      <w:lang w:val="en-US" w:eastAsia="zh-CN"/>
                    </w:rPr>
                  </w:pPr>
                  <w:r>
                    <w:rPr>
                      <w:rFonts w:hint="eastAsia"/>
                      <w:lang w:val="en-US" w:eastAsia="zh-CN"/>
                    </w:rPr>
                    <w:t>非甲烷总烃</w:t>
                  </w:r>
                </w:p>
              </w:tc>
              <w:tc>
                <w:tcPr>
                  <w:tcW w:w="1528" w:type="pct"/>
                  <w:vAlign w:val="center"/>
                </w:tcPr>
                <w:p>
                  <w:pPr>
                    <w:pStyle w:val="59"/>
                    <w:rPr>
                      <w:rFonts w:hint="default" w:hAnsi="宋体"/>
                      <w:szCs w:val="21"/>
                      <w:lang w:val="en-US" w:eastAsia="zh-CN"/>
                    </w:rPr>
                  </w:pPr>
                  <w:r>
                    <w:rPr>
                      <w:rFonts w:hint="eastAsia" w:hAnsi="宋体"/>
                      <w:szCs w:val="21"/>
                      <w:lang w:val="en-US" w:eastAsia="zh-CN"/>
                    </w:rPr>
                    <w:t>安装集气罩，采取活性炭吸附等方法处理达到《大气污染物综合排放标准》（GB16297-1996）二级标准后15米排气筒排放</w:t>
                  </w:r>
                </w:p>
              </w:tc>
              <w:tc>
                <w:tcPr>
                  <w:tcW w:w="1100" w:type="pct"/>
                  <w:vAlign w:val="center"/>
                </w:tcPr>
                <w:p>
                  <w:pPr>
                    <w:jc w:val="center"/>
                    <w:rPr>
                      <w:rFonts w:hint="eastAsia"/>
                    </w:rPr>
                  </w:pPr>
                  <w:r>
                    <w:rPr>
                      <w:rFonts w:hint="eastAsi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vAlign w:val="center"/>
                </w:tcPr>
                <w:p>
                  <w:pPr>
                    <w:pStyle w:val="59"/>
                    <w:rPr>
                      <w:rFonts w:hint="default" w:eastAsia="宋体"/>
                      <w:lang w:val="en-US" w:eastAsia="zh-CN"/>
                    </w:rPr>
                  </w:pPr>
                  <w:r>
                    <w:rPr>
                      <w:rFonts w:hint="eastAsia"/>
                      <w:lang w:val="en-US" w:eastAsia="zh-CN"/>
                    </w:rPr>
                    <w:t>2</w:t>
                  </w:r>
                </w:p>
              </w:tc>
              <w:tc>
                <w:tcPr>
                  <w:tcW w:w="385" w:type="pct"/>
                  <w:vAlign w:val="center"/>
                </w:tcPr>
                <w:p>
                  <w:pPr>
                    <w:pStyle w:val="59"/>
                  </w:pPr>
                  <w:r>
                    <w:rPr>
                      <w:rFonts w:hint="eastAsia"/>
                    </w:rPr>
                    <w:t>废水</w:t>
                  </w:r>
                </w:p>
              </w:tc>
              <w:tc>
                <w:tcPr>
                  <w:tcW w:w="725" w:type="pct"/>
                  <w:vAlign w:val="center"/>
                </w:tcPr>
                <w:p>
                  <w:pPr>
                    <w:pStyle w:val="59"/>
                  </w:pPr>
                  <w:r>
                    <w:rPr>
                      <w:rFonts w:hint="eastAsia"/>
                      <w:lang w:eastAsia="zh-CN"/>
                    </w:rPr>
                    <w:t>清洗废水</w:t>
                  </w:r>
                </w:p>
              </w:tc>
              <w:tc>
                <w:tcPr>
                  <w:tcW w:w="1016" w:type="pct"/>
                  <w:vAlign w:val="center"/>
                </w:tcPr>
                <w:p>
                  <w:pPr>
                    <w:adjustRightInd w:val="0"/>
                    <w:snapToGrid w:val="0"/>
                    <w:rPr>
                      <w:rFonts w:hint="default"/>
                      <w:lang w:val="en-US" w:eastAsia="zh-CN"/>
                    </w:rPr>
                  </w:pPr>
                  <w:r>
                    <w:rPr>
                      <w:rFonts w:hint="eastAsia"/>
                      <w:lang w:val="en-US" w:eastAsia="zh-CN"/>
                    </w:rPr>
                    <w:t>COD</w:t>
                  </w:r>
                  <w:r>
                    <w:rPr>
                      <w:rFonts w:hint="eastAsia"/>
                      <w:vertAlign w:val="subscript"/>
                      <w:lang w:val="en-US" w:eastAsia="zh-CN"/>
                    </w:rPr>
                    <w:t>cr</w:t>
                  </w:r>
                  <w:r>
                    <w:rPr>
                      <w:rFonts w:hint="eastAsia"/>
                      <w:lang w:val="en-US" w:eastAsia="zh-CN"/>
                    </w:rPr>
                    <w:t>、NH3-N、BOD</w:t>
                  </w:r>
                  <w:r>
                    <w:rPr>
                      <w:rFonts w:hint="eastAsia"/>
                      <w:vertAlign w:val="subscript"/>
                      <w:lang w:val="en-US" w:eastAsia="zh-CN"/>
                    </w:rPr>
                    <w:t>5</w:t>
                  </w:r>
                  <w:r>
                    <w:rPr>
                      <w:rFonts w:hint="eastAsia"/>
                      <w:lang w:val="en-US" w:eastAsia="zh-CN"/>
                    </w:rPr>
                    <w:t>、色度、PH</w:t>
                  </w:r>
                </w:p>
              </w:tc>
              <w:tc>
                <w:tcPr>
                  <w:tcW w:w="1528" w:type="pct"/>
                  <w:vAlign w:val="center"/>
                </w:tcPr>
                <w:p>
                  <w:pPr>
                    <w:pStyle w:val="59"/>
                    <w:rPr>
                      <w:rFonts w:hint="default" w:eastAsia="宋体"/>
                      <w:lang w:val="en-US" w:eastAsia="zh-CN"/>
                    </w:rPr>
                  </w:pPr>
                  <w:r>
                    <w:rPr>
                      <w:rFonts w:hint="eastAsia" w:hAnsi="宋体"/>
                      <w:szCs w:val="21"/>
                      <w:lang w:val="en-US" w:eastAsia="zh-CN"/>
                    </w:rPr>
                    <w:t>进入污水站，经处理后达到《污水综合排放标准》（GB8978-1996）一级标准后排放</w:t>
                  </w:r>
                </w:p>
              </w:tc>
              <w:tc>
                <w:tcPr>
                  <w:tcW w:w="1100" w:type="pct"/>
                  <w:vAlign w:val="center"/>
                </w:tcPr>
                <w:p>
                  <w:pPr>
                    <w:jc w:val="center"/>
                  </w:pPr>
                  <w:r>
                    <w:rPr>
                      <w:rFonts w:hint="eastAsia" w:hAnsi="宋体"/>
                      <w:szCs w:val="21"/>
                      <w:lang w:val="en-US" w:eastAsia="zh-CN"/>
                    </w:rPr>
                    <w:t>进入污水站，经处理后达到《污水综合排放标准》（GB8978-1996）三级标准后回用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vAlign w:val="center"/>
                </w:tcPr>
                <w:p>
                  <w:pPr>
                    <w:pStyle w:val="59"/>
                    <w:rPr>
                      <w:rFonts w:hint="default"/>
                      <w:lang w:val="en-US" w:eastAsia="zh-CN"/>
                    </w:rPr>
                  </w:pPr>
                  <w:r>
                    <w:rPr>
                      <w:rFonts w:hint="eastAsia"/>
                      <w:lang w:val="en-US" w:eastAsia="zh-CN"/>
                    </w:rPr>
                    <w:t>3</w:t>
                  </w:r>
                </w:p>
              </w:tc>
              <w:tc>
                <w:tcPr>
                  <w:tcW w:w="3655" w:type="pct"/>
                  <w:gridSpan w:val="4"/>
                  <w:vAlign w:val="center"/>
                </w:tcPr>
                <w:p>
                  <w:pPr>
                    <w:pStyle w:val="59"/>
                    <w:jc w:val="both"/>
                    <w:rPr>
                      <w:rFonts w:hint="default" w:eastAsia="宋体"/>
                      <w:lang w:val="en-US" w:eastAsia="zh-CN"/>
                    </w:rPr>
                  </w:pPr>
                  <w:r>
                    <w:rPr>
                      <w:rFonts w:hint="eastAsia"/>
                      <w:lang w:val="en-US" w:eastAsia="zh-CN"/>
                    </w:rPr>
                    <w:t>合理布局生产设备，合理安排作业时间，并采取相应的隔音降噪措施，厂界环境噪声执行GB12348-2008《工业企业厂界环境噪声排放标准》2类区标准要求</w:t>
                  </w:r>
                </w:p>
              </w:tc>
              <w:tc>
                <w:tcPr>
                  <w:tcW w:w="1100" w:type="pct"/>
                  <w:vAlign w:val="center"/>
                </w:tcPr>
                <w:p>
                  <w:pPr>
                    <w:pStyle w:val="59"/>
                    <w:rPr>
                      <w:rFonts w:hint="eastAsia"/>
                      <w:lang w:val="en-US" w:eastAsia="zh-CN"/>
                    </w:rPr>
                  </w:pPr>
                  <w:r>
                    <w:rPr>
                      <w:rFonts w:hint="eastAsia"/>
                    </w:rPr>
                    <w:t>与环评一致</w:t>
                  </w:r>
                </w:p>
              </w:tc>
            </w:tr>
          </w:tbl>
          <w:p>
            <w:pPr>
              <w:pStyle w:val="5"/>
              <w:numPr>
                <w:ilvl w:val="0"/>
                <w:numId w:val="0"/>
              </w:numPr>
            </w:pPr>
            <w:bookmarkStart w:id="73" w:name="_Toc18963"/>
            <w:bookmarkStart w:id="74" w:name="_Toc28175604"/>
            <w:bookmarkStart w:id="75" w:name="_Toc31811"/>
            <w:r>
              <w:rPr>
                <w:rFonts w:hint="eastAsia"/>
              </w:rPr>
              <w:t>3.</w:t>
            </w:r>
            <w:r>
              <w:rPr>
                <w:rFonts w:hint="eastAsia"/>
                <w:lang w:val="en-US" w:eastAsia="zh-CN"/>
              </w:rPr>
              <w:t>6</w:t>
            </w:r>
            <w:r>
              <w:rPr>
                <w:rFonts w:hint="eastAsia"/>
              </w:rPr>
              <w:t>污染物排放总量控制指标</w:t>
            </w:r>
            <w:bookmarkEnd w:id="73"/>
            <w:bookmarkEnd w:id="74"/>
            <w:bookmarkEnd w:id="75"/>
          </w:p>
          <w:p>
            <w:pPr>
              <w:pStyle w:val="4"/>
              <w:rPr>
                <w:rFonts w:eastAsia="仿宋_GB2312"/>
                <w:color w:val="000000"/>
                <w:szCs w:val="21"/>
              </w:rPr>
            </w:pPr>
            <w:r>
              <w:rPr>
                <w:rFonts w:hint="eastAsia"/>
                <w:sz w:val="24"/>
                <w:szCs w:val="24"/>
                <w:highlight w:val="none"/>
                <w:lang w:val="en-US" w:eastAsia="zh-CN"/>
              </w:rPr>
              <w:t>环评批复中未对</w:t>
            </w:r>
            <w:r>
              <w:rPr>
                <w:rFonts w:hint="eastAsia"/>
                <w:sz w:val="24"/>
                <w:szCs w:val="24"/>
                <w:highlight w:val="none"/>
              </w:rPr>
              <w:t>项目总量指标</w:t>
            </w:r>
            <w:r>
              <w:rPr>
                <w:rFonts w:hint="eastAsia"/>
                <w:sz w:val="24"/>
                <w:szCs w:val="24"/>
                <w:highlight w:val="none"/>
                <w:lang w:val="en-US" w:eastAsia="zh-CN"/>
              </w:rPr>
              <w:t>提出</w:t>
            </w:r>
            <w:r>
              <w:rPr>
                <w:rFonts w:hint="eastAsia"/>
                <w:sz w:val="24"/>
                <w:szCs w:val="24"/>
                <w:highlight w:val="none"/>
              </w:rPr>
              <w:t>要求。</w:t>
            </w:r>
          </w:p>
        </w:tc>
      </w:tr>
    </w:tbl>
    <w:p>
      <w:pPr>
        <w:bidi w:val="0"/>
      </w:pPr>
      <w:bookmarkStart w:id="76" w:name="_Toc8146"/>
    </w:p>
    <w:p>
      <w:pPr>
        <w:pStyle w:val="3"/>
      </w:pPr>
      <w:bookmarkStart w:id="77" w:name="_Toc1571"/>
      <w:r>
        <w:rPr>
          <w:rFonts w:hint="eastAsia"/>
        </w:rPr>
        <w:t>建设项目环境影响</w:t>
      </w:r>
      <w:r>
        <w:rPr>
          <w:rFonts w:hint="eastAsia"/>
          <w:lang w:eastAsia="zh-CN"/>
        </w:rPr>
        <w:t>备案</w:t>
      </w:r>
      <w:r>
        <w:rPr>
          <w:rFonts w:hint="eastAsia"/>
        </w:rPr>
        <w:t>表主要结论：</w:t>
      </w:r>
      <w:bookmarkEnd w:id="76"/>
      <w:bookmarkEnd w:id="77"/>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6" w:hRule="atLeast"/>
          <w:jc w:val="center"/>
        </w:trPr>
        <w:tc>
          <w:tcPr>
            <w:tcW w:w="8924" w:type="dxa"/>
          </w:tcPr>
          <w:p>
            <w:pPr>
              <w:pStyle w:val="5"/>
            </w:pPr>
            <w:bookmarkStart w:id="78" w:name="_Toc524703394"/>
            <w:bookmarkEnd w:id="78"/>
            <w:bookmarkStart w:id="79" w:name="_Toc519235223"/>
            <w:bookmarkEnd w:id="79"/>
            <w:bookmarkStart w:id="80" w:name="_Toc531881898"/>
            <w:bookmarkEnd w:id="80"/>
            <w:bookmarkStart w:id="81" w:name="_Toc518567406"/>
            <w:bookmarkEnd w:id="81"/>
            <w:bookmarkStart w:id="82" w:name="_Toc531879823"/>
            <w:bookmarkEnd w:id="82"/>
            <w:bookmarkStart w:id="83" w:name="_Toc519179421"/>
            <w:bookmarkEnd w:id="83"/>
            <w:bookmarkStart w:id="84" w:name="_Toc519235289"/>
            <w:bookmarkEnd w:id="84"/>
            <w:bookmarkStart w:id="85" w:name="_Toc529265087"/>
            <w:bookmarkEnd w:id="85"/>
            <w:bookmarkStart w:id="86" w:name="_Toc524703327"/>
            <w:bookmarkEnd w:id="86"/>
            <w:bookmarkStart w:id="87" w:name="_Toc9230"/>
            <w:bookmarkStart w:id="88" w:name="_Toc508447093"/>
            <w:bookmarkStart w:id="89" w:name="_Toc26011"/>
            <w:r>
              <w:rPr>
                <w:rFonts w:hint="eastAsia"/>
              </w:rPr>
              <w:t>建设项目环评报告书（表）的主要结论与建议</w:t>
            </w:r>
            <w:bookmarkEnd w:id="87"/>
            <w:bookmarkEnd w:id="88"/>
            <w:bookmarkEnd w:id="89"/>
          </w:p>
          <w:p>
            <w:pPr>
              <w:pStyle w:val="4"/>
              <w:widowControl w:val="0"/>
              <w:numPr>
                <w:ilvl w:val="0"/>
                <w:numId w:val="3"/>
              </w:numPr>
              <w:autoSpaceDE w:val="0"/>
              <w:autoSpaceDN w:val="0"/>
              <w:spacing w:line="360" w:lineRule="auto"/>
              <w:ind w:firstLine="480" w:firstLineChars="200"/>
              <w:jc w:val="both"/>
              <w:rPr>
                <w:rFonts w:hint="eastAsia"/>
                <w:lang w:val="en-US" w:eastAsia="zh-CN"/>
              </w:rPr>
            </w:pPr>
            <w:r>
              <w:rPr>
                <w:rFonts w:hint="eastAsia"/>
                <w:lang w:val="en-US" w:eastAsia="zh-CN"/>
              </w:rPr>
              <w:t>宁波市鄞州古林宏通印花厂选址位于鄞州区古林镇蜃蛟村，厂房向宁波市鄞州明升工艺品厂租赁，本项目投资15万元，主要从事针织服装衣片印花，印花工艺为水性印花及油性印花。根据市场需求，生产有较为明显的淡旺季，平均每年工作约300天，年印衣片50万片，年实现产值约100万元。</w:t>
            </w:r>
          </w:p>
          <w:p>
            <w:pPr>
              <w:pStyle w:val="4"/>
              <w:widowControl w:val="0"/>
              <w:numPr>
                <w:ilvl w:val="0"/>
                <w:numId w:val="3"/>
              </w:numPr>
              <w:autoSpaceDE w:val="0"/>
              <w:autoSpaceDN w:val="0"/>
              <w:spacing w:line="360" w:lineRule="auto"/>
              <w:ind w:firstLine="480" w:firstLineChars="200"/>
              <w:jc w:val="both"/>
              <w:rPr>
                <w:rFonts w:hint="default"/>
                <w:lang w:val="en-US" w:eastAsia="zh-CN"/>
              </w:rPr>
            </w:pPr>
            <w:r>
              <w:rPr>
                <w:rFonts w:hint="eastAsia"/>
                <w:lang w:val="en-US" w:eastAsia="zh-CN"/>
              </w:rPr>
              <w:t>根据《宁波市地表水环境保护功能区划分技术总报告》、《宁波市环境空气质量功能区划分技术报告》，区域内的地表水执行GB3838-2002《地表水环境质量标准》中</w:t>
            </w:r>
            <w:r>
              <w:rPr>
                <w:rFonts w:hint="eastAsia" w:ascii="宋体" w:hAnsi="宋体" w:eastAsia="宋体" w:cs="宋体"/>
                <w:lang w:val="en-US" w:eastAsia="zh-CN"/>
              </w:rPr>
              <w:t>Ⅲ类标准；环境空气质量为二类功能区，执行《环境空气质量标准》（GB3095-1996）中的二级标准。环境噪声执行GB3096-93中的2类标准。</w:t>
            </w:r>
          </w:p>
          <w:p>
            <w:pPr>
              <w:pStyle w:val="4"/>
              <w:widowControl w:val="0"/>
              <w:numPr>
                <w:ilvl w:val="0"/>
                <w:numId w:val="3"/>
              </w:numPr>
              <w:autoSpaceDE w:val="0"/>
              <w:autoSpaceDN w:val="0"/>
              <w:spacing w:line="360" w:lineRule="auto"/>
              <w:ind w:firstLine="480" w:firstLineChars="200"/>
              <w:jc w:val="both"/>
              <w:rPr>
                <w:rFonts w:hint="default"/>
                <w:lang w:val="en-US" w:eastAsia="zh-CN"/>
              </w:rPr>
            </w:pPr>
            <w:r>
              <w:rPr>
                <w:rFonts w:hint="eastAsia" w:ascii="宋体" w:hAnsi="宋体" w:eastAsia="宋体" w:cs="宋体"/>
                <w:lang w:val="en-US" w:eastAsia="zh-CN"/>
              </w:rPr>
              <w:t>本项目产生的污、废水主要是印花网版清洗水和生活污水。印花网版清洗废水有浓度高、水量少（年产生量300吨）的特点，采用混凝、沉淀、脱色处理后达到GB8978-1996《污水综合排放标准》一级标准后部分回用于生产，其余排放必须达到一级标准；职工生活污水经有动力净化池处理达到GB8978-1996《污水综合排放标准》一级标准后排放。</w:t>
            </w:r>
          </w:p>
          <w:p>
            <w:pPr>
              <w:pStyle w:val="4"/>
              <w:widowControl w:val="0"/>
              <w:numPr>
                <w:ilvl w:val="0"/>
                <w:numId w:val="3"/>
              </w:numPr>
              <w:autoSpaceDE w:val="0"/>
              <w:autoSpaceDN w:val="0"/>
              <w:spacing w:line="360" w:lineRule="auto"/>
              <w:ind w:firstLine="480" w:firstLineChars="200"/>
              <w:jc w:val="both"/>
              <w:rPr>
                <w:rFonts w:hint="default"/>
                <w:lang w:val="en-US" w:eastAsia="zh-CN"/>
              </w:rPr>
            </w:pPr>
            <w:r>
              <w:rPr>
                <w:rFonts w:hint="eastAsia" w:ascii="宋体" w:hAnsi="宋体" w:eastAsia="宋体" w:cs="宋体"/>
                <w:lang w:val="en-US" w:eastAsia="zh-CN"/>
              </w:rPr>
              <w:t>企业应采取印花车间通风，将印花车间废气用集气罩收集后，通过15米以上烟囱高空排放，做到废气达到GB16297-1996《大气污染物综合排放标准》二级标准排放，对环境影响较小。</w:t>
            </w:r>
          </w:p>
          <w:p>
            <w:pPr>
              <w:pStyle w:val="4"/>
              <w:widowControl w:val="0"/>
              <w:numPr>
                <w:ilvl w:val="0"/>
                <w:numId w:val="3"/>
              </w:numPr>
              <w:autoSpaceDE w:val="0"/>
              <w:autoSpaceDN w:val="0"/>
              <w:spacing w:line="360" w:lineRule="auto"/>
              <w:ind w:firstLine="480" w:firstLineChars="200"/>
              <w:jc w:val="both"/>
              <w:rPr>
                <w:rFonts w:hint="default"/>
                <w:lang w:val="en-US" w:eastAsia="zh-CN"/>
              </w:rPr>
            </w:pPr>
            <w:r>
              <w:rPr>
                <w:rFonts w:hint="eastAsia" w:ascii="宋体" w:hAnsi="宋体" w:eastAsia="宋体" w:cs="宋体"/>
                <w:lang w:val="en-US" w:eastAsia="zh-CN"/>
              </w:rPr>
              <w:t>废气、胶浆桶等原、辅材料盛装容器由提供厂家负责回收，避免“二次污染”的产生；少量的破损网版、废水处理泥渣和生活垃圾委托当地环卫部门定期清运，对环境影响不大。</w:t>
            </w:r>
          </w:p>
          <w:p>
            <w:pPr>
              <w:pStyle w:val="4"/>
              <w:widowControl w:val="0"/>
              <w:numPr>
                <w:ilvl w:val="0"/>
                <w:numId w:val="3"/>
              </w:numPr>
              <w:autoSpaceDE w:val="0"/>
              <w:autoSpaceDN w:val="0"/>
              <w:spacing w:line="360" w:lineRule="auto"/>
              <w:ind w:firstLine="480" w:firstLineChars="200"/>
              <w:jc w:val="both"/>
              <w:rPr>
                <w:rFonts w:hint="default"/>
                <w:lang w:val="en-US" w:eastAsia="zh-CN"/>
              </w:rPr>
            </w:pPr>
            <w:r>
              <w:rPr>
                <w:rFonts w:hint="eastAsia" w:ascii="宋体" w:hAnsi="宋体" w:eastAsia="宋体" w:cs="宋体"/>
                <w:lang w:val="en-US" w:eastAsia="zh-CN"/>
              </w:rPr>
              <w:t>含非甲烷总烃的废抹布属危险废物，编号为HW08，本项目中废油墨桶属于危险废物，编号为HW12，根据《中华人民共和国固体废物环境污染防治法》规定，对于危险废物，企业按照国家有关规定进行申报登记，执行联单制度；对危险废物的容器和包装物以及收集、储存、运输、处置危险废物的设施、场所必须设置危险废物标识标识。须委托有资质单位处理，严禁乱丢乱扔或擅自焚烧。须委托有资质单位处理，严禁乱丢乱扔或擅自焚烧，对环境影响不大。</w:t>
            </w:r>
          </w:p>
          <w:p>
            <w:pPr>
              <w:pStyle w:val="4"/>
              <w:rPr>
                <w:rFonts w:hint="default"/>
                <w:lang w:val="en-US" w:eastAsia="zh-CN"/>
              </w:rPr>
            </w:pPr>
            <w:r>
              <w:rPr>
                <w:rFonts w:hint="eastAsia"/>
                <w:lang w:val="en-US" w:eastAsia="zh-CN"/>
              </w:rPr>
              <w:t>结论，本项目建设选址符合规划功能，项目建设通过污染治理与控制，使污染物达标排放，其对环境影响较小，项目建设从环境保护的角度上是可行的。</w:t>
            </w:r>
          </w:p>
          <w:p>
            <w:pPr>
              <w:pStyle w:val="4"/>
              <w:rPr>
                <w:rFonts w:hint="default"/>
                <w:lang w:val="en-US" w:eastAsia="zh-CN"/>
              </w:rPr>
            </w:pPr>
          </w:p>
          <w:p>
            <w:pPr>
              <w:pStyle w:val="5"/>
              <w:rPr>
                <w:rFonts w:hint="default"/>
                <w:lang w:val="en-US" w:eastAsia="zh-CN"/>
              </w:rPr>
            </w:pPr>
            <w:bookmarkStart w:id="90" w:name="_Toc508447098"/>
            <w:bookmarkStart w:id="91" w:name="_Toc17757"/>
            <w:bookmarkStart w:id="92" w:name="_Toc4892"/>
            <w:r>
              <w:rPr>
                <w:rFonts w:hint="eastAsia"/>
              </w:rPr>
              <w:t>审批部门审批</w:t>
            </w:r>
            <w:bookmarkEnd w:id="90"/>
            <w:bookmarkEnd w:id="91"/>
            <w:r>
              <w:rPr>
                <w:rFonts w:hint="eastAsia"/>
                <w:lang w:val="en-US" w:eastAsia="zh-CN"/>
              </w:rPr>
              <w:t>意见</w:t>
            </w:r>
            <w:bookmarkEnd w:id="92"/>
          </w:p>
          <w:p>
            <w:pPr>
              <w:pStyle w:val="4"/>
              <w:widowControl w:val="0"/>
              <w:numPr>
                <w:ilvl w:val="0"/>
                <w:numId w:val="0"/>
              </w:numPr>
              <w:autoSpaceDE w:val="0"/>
              <w:autoSpaceDN w:val="0"/>
              <w:spacing w:line="360" w:lineRule="auto"/>
              <w:ind w:firstLine="480" w:firstLineChars="200"/>
              <w:jc w:val="both"/>
              <w:rPr>
                <w:rFonts w:hint="eastAsia"/>
                <w:lang w:val="en-US" w:eastAsia="zh-CN"/>
              </w:rPr>
            </w:pPr>
            <w:r>
              <w:rPr>
                <w:rFonts w:hint="eastAsia"/>
                <w:lang w:val="en-US" w:eastAsia="zh-CN"/>
              </w:rPr>
              <w:t>同意宁波市鄞州古林宏通印花厂在宁波市鄞州区古林镇蜃蛟村建设丝网印花（水性）项目，但建设单位须做到以下几点：</w:t>
            </w:r>
          </w:p>
          <w:p>
            <w:pPr>
              <w:pStyle w:val="4"/>
              <w:widowControl w:val="0"/>
              <w:numPr>
                <w:ilvl w:val="0"/>
                <w:numId w:val="4"/>
              </w:numPr>
              <w:autoSpaceDE w:val="0"/>
              <w:autoSpaceDN w:val="0"/>
              <w:spacing w:line="360" w:lineRule="auto"/>
              <w:ind w:firstLine="480" w:firstLineChars="200"/>
              <w:jc w:val="both"/>
              <w:rPr>
                <w:rFonts w:hint="eastAsia"/>
                <w:lang w:val="en-US" w:eastAsia="zh-CN"/>
              </w:rPr>
            </w:pPr>
            <w:r>
              <w:rPr>
                <w:rFonts w:hint="eastAsia"/>
                <w:lang w:val="en-US" w:eastAsia="zh-CN"/>
              </w:rPr>
              <w:t>按环评要求落实各项污染物防治措施，确保污染物达标排放；</w:t>
            </w:r>
          </w:p>
          <w:p>
            <w:pPr>
              <w:pStyle w:val="4"/>
              <w:widowControl w:val="0"/>
              <w:numPr>
                <w:ilvl w:val="0"/>
                <w:numId w:val="4"/>
              </w:numPr>
              <w:autoSpaceDE w:val="0"/>
              <w:autoSpaceDN w:val="0"/>
              <w:spacing w:line="360" w:lineRule="auto"/>
              <w:ind w:firstLine="480" w:firstLineChars="200"/>
              <w:jc w:val="both"/>
              <w:rPr>
                <w:rFonts w:hint="default"/>
                <w:lang w:val="en-US" w:eastAsia="zh-CN"/>
              </w:rPr>
            </w:pPr>
            <w:r>
              <w:rPr>
                <w:rFonts w:hint="eastAsia"/>
                <w:lang w:val="en-US" w:eastAsia="zh-CN"/>
              </w:rPr>
              <w:t>本项目所有的生产废水须统一收集，经自设污水处理设备处理后回用于网版清洗，部分排放工业区污水管道，排放标准执行GB8978-1996二级标准；职工生活污水必须经有效处理达到GB8978-1996二级标准后排放工业区污水管道。</w:t>
            </w:r>
          </w:p>
          <w:p>
            <w:pPr>
              <w:pStyle w:val="4"/>
              <w:widowControl w:val="0"/>
              <w:numPr>
                <w:ilvl w:val="0"/>
                <w:numId w:val="4"/>
              </w:numPr>
              <w:autoSpaceDE w:val="0"/>
              <w:autoSpaceDN w:val="0"/>
              <w:spacing w:line="360" w:lineRule="auto"/>
              <w:ind w:firstLine="480" w:firstLineChars="200"/>
              <w:jc w:val="both"/>
              <w:rPr>
                <w:rFonts w:hint="default"/>
                <w:lang w:val="en-US" w:eastAsia="zh-CN"/>
              </w:rPr>
            </w:pPr>
            <w:r>
              <w:rPr>
                <w:rFonts w:hint="eastAsia"/>
                <w:lang w:val="en-US" w:eastAsia="zh-CN"/>
              </w:rPr>
              <w:t>车间内刺激性废气必须统一收集，经有效处理至GB16297-1996二级标准后经排气筒高空排放。</w:t>
            </w:r>
          </w:p>
          <w:p>
            <w:pPr>
              <w:pStyle w:val="4"/>
              <w:widowControl w:val="0"/>
              <w:numPr>
                <w:ilvl w:val="0"/>
                <w:numId w:val="4"/>
              </w:numPr>
              <w:autoSpaceDE w:val="0"/>
              <w:autoSpaceDN w:val="0"/>
              <w:spacing w:line="360" w:lineRule="auto"/>
              <w:ind w:firstLine="480" w:firstLineChars="200"/>
              <w:jc w:val="both"/>
              <w:rPr>
                <w:rFonts w:hint="default"/>
                <w:lang w:val="en-US" w:eastAsia="zh-CN"/>
              </w:rPr>
            </w:pPr>
            <w:r>
              <w:rPr>
                <w:rFonts w:hint="eastAsia"/>
                <w:lang w:val="en-US" w:eastAsia="zh-CN"/>
              </w:rPr>
              <w:t>产生的固体废弃物必须统一收集，妥善处理，不得擅自焚烧，严防二次污染的产生。</w:t>
            </w:r>
          </w:p>
          <w:p>
            <w:pPr>
              <w:pStyle w:val="4"/>
              <w:widowControl w:val="0"/>
              <w:numPr>
                <w:ilvl w:val="0"/>
                <w:numId w:val="4"/>
              </w:numPr>
              <w:autoSpaceDE w:val="0"/>
              <w:autoSpaceDN w:val="0"/>
              <w:spacing w:line="360" w:lineRule="auto"/>
              <w:ind w:firstLine="480" w:firstLineChars="200"/>
              <w:jc w:val="both"/>
              <w:rPr>
                <w:rFonts w:hint="default"/>
                <w:lang w:val="en-US" w:eastAsia="zh-CN"/>
              </w:rPr>
            </w:pPr>
            <w:r>
              <w:rPr>
                <w:rFonts w:hint="eastAsia"/>
                <w:lang w:val="en-US" w:eastAsia="zh-CN"/>
              </w:rPr>
              <w:t>合理布局生产车间，合理安排作业时间，并采取相应有效的隔音降噪措施，以防治噪声污染，厂界噪声排放执行GB12348-90</w:t>
            </w:r>
            <w:r>
              <w:rPr>
                <w:rFonts w:hint="eastAsia" w:ascii="宋体" w:hAnsi="宋体" w:eastAsia="宋体" w:cs="宋体"/>
                <w:lang w:val="en-US" w:eastAsia="zh-CN"/>
              </w:rPr>
              <w:t>Ⅱ类标准。</w:t>
            </w:r>
          </w:p>
          <w:p>
            <w:pPr>
              <w:pStyle w:val="4"/>
              <w:widowControl w:val="0"/>
              <w:numPr>
                <w:ilvl w:val="0"/>
                <w:numId w:val="4"/>
              </w:numPr>
              <w:autoSpaceDE w:val="0"/>
              <w:autoSpaceDN w:val="0"/>
              <w:spacing w:line="360" w:lineRule="auto"/>
              <w:ind w:firstLine="480" w:firstLineChars="200"/>
              <w:jc w:val="both"/>
              <w:rPr>
                <w:rFonts w:hint="default"/>
                <w:lang w:val="en-US" w:eastAsia="zh-CN"/>
              </w:rPr>
            </w:pPr>
            <w:r>
              <w:rPr>
                <w:rFonts w:hint="eastAsia" w:ascii="宋体" w:hAnsi="宋体" w:eastAsia="宋体" w:cs="宋体"/>
                <w:lang w:val="en-US" w:eastAsia="zh-CN"/>
              </w:rPr>
              <w:t>加强日常生产管理，重视环保工作，杜绝污染事故的发生。</w:t>
            </w:r>
          </w:p>
          <w:p>
            <w:pPr>
              <w:pStyle w:val="4"/>
              <w:widowControl w:val="0"/>
              <w:numPr>
                <w:ilvl w:val="0"/>
                <w:numId w:val="4"/>
              </w:numPr>
              <w:autoSpaceDE w:val="0"/>
              <w:autoSpaceDN w:val="0"/>
              <w:spacing w:line="360" w:lineRule="auto"/>
              <w:ind w:firstLine="480" w:firstLineChars="200"/>
              <w:jc w:val="both"/>
              <w:rPr>
                <w:rFonts w:hint="default"/>
                <w:lang w:val="en-US" w:eastAsia="zh-CN"/>
              </w:rPr>
            </w:pPr>
            <w:r>
              <w:rPr>
                <w:rFonts w:hint="eastAsia" w:ascii="宋体" w:hAnsi="宋体" w:eastAsia="宋体" w:cs="宋体"/>
                <w:lang w:val="en-US" w:eastAsia="zh-CN"/>
              </w:rPr>
              <w:t>严格执行环保“三同时”制度，项目投产前必须报环保主管部门检查验收。</w:t>
            </w:r>
          </w:p>
          <w:p>
            <w:pPr>
              <w:pStyle w:val="4"/>
              <w:widowControl w:val="0"/>
              <w:numPr>
                <w:ilvl w:val="0"/>
                <w:numId w:val="0"/>
              </w:numPr>
              <w:autoSpaceDE w:val="0"/>
              <w:autoSpaceDN w:val="0"/>
              <w:spacing w:line="360" w:lineRule="auto"/>
              <w:ind w:firstLine="480" w:firstLineChars="200"/>
              <w:jc w:val="both"/>
              <w:rPr>
                <w:rFonts w:hint="default"/>
                <w:lang w:val="en-US" w:eastAsia="zh-CN"/>
              </w:rPr>
            </w:pPr>
          </w:p>
          <w:p>
            <w:pPr>
              <w:pStyle w:val="4"/>
              <w:widowControl w:val="0"/>
              <w:numPr>
                <w:ilvl w:val="0"/>
                <w:numId w:val="0"/>
              </w:numPr>
              <w:autoSpaceDE w:val="0"/>
              <w:autoSpaceDN w:val="0"/>
              <w:spacing w:line="360" w:lineRule="auto"/>
              <w:jc w:val="right"/>
              <w:rPr>
                <w:rFonts w:hint="eastAsia"/>
                <w:lang w:val="en-US" w:eastAsia="zh-CN"/>
              </w:rPr>
            </w:pPr>
            <w:r>
              <w:rPr>
                <w:rFonts w:hint="eastAsia"/>
                <w:lang w:val="en-US" w:eastAsia="zh-CN"/>
              </w:rPr>
              <w:t>宁波市鄞州区环境保护局</w:t>
            </w:r>
          </w:p>
          <w:p>
            <w:pPr>
              <w:pStyle w:val="4"/>
              <w:widowControl w:val="0"/>
              <w:numPr>
                <w:ilvl w:val="0"/>
                <w:numId w:val="0"/>
              </w:numPr>
              <w:autoSpaceDE w:val="0"/>
              <w:autoSpaceDN w:val="0"/>
              <w:spacing w:line="360" w:lineRule="auto"/>
              <w:jc w:val="right"/>
              <w:rPr>
                <w:rFonts w:hint="eastAsia"/>
                <w:lang w:val="en-US" w:eastAsia="zh-CN"/>
              </w:rPr>
            </w:pPr>
            <w:r>
              <w:rPr>
                <w:rFonts w:hint="eastAsia"/>
                <w:lang w:val="en-US" w:eastAsia="zh-CN"/>
              </w:rPr>
              <w:t>2006年6月8日</w:t>
            </w: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right"/>
              <w:rPr>
                <w:rFonts w:hint="eastAsia"/>
                <w:lang w:val="en-US" w:eastAsia="zh-CN"/>
              </w:rPr>
            </w:pPr>
          </w:p>
          <w:p>
            <w:pPr>
              <w:pStyle w:val="4"/>
              <w:widowControl w:val="0"/>
              <w:numPr>
                <w:ilvl w:val="0"/>
                <w:numId w:val="0"/>
              </w:numPr>
              <w:autoSpaceDE w:val="0"/>
              <w:autoSpaceDN w:val="0"/>
              <w:spacing w:line="360" w:lineRule="auto"/>
              <w:jc w:val="both"/>
              <w:rPr>
                <w:rFonts w:hint="default"/>
                <w:lang w:val="en-US" w:eastAsia="zh-CN"/>
              </w:rPr>
            </w:pPr>
          </w:p>
          <w:p>
            <w:pPr>
              <w:pStyle w:val="5"/>
            </w:pPr>
            <w:bookmarkStart w:id="93" w:name="_Toc12715"/>
            <w:bookmarkStart w:id="94" w:name="_Toc7499"/>
            <w:r>
              <w:rPr>
                <w:rFonts w:hint="eastAsia"/>
              </w:rPr>
              <w:t>环境保护措施落实情况</w:t>
            </w:r>
            <w:bookmarkEnd w:id="93"/>
            <w:bookmarkEnd w:id="94"/>
          </w:p>
          <w:p>
            <w:pPr>
              <w:pStyle w:val="6"/>
            </w:pPr>
            <w:bookmarkStart w:id="95" w:name="_Toc16792"/>
            <w:bookmarkStart w:id="96" w:name="_Toc30777"/>
            <w:bookmarkStart w:id="97" w:name="_Toc18546"/>
            <w:bookmarkStart w:id="98" w:name="_Toc29492"/>
            <w:bookmarkStart w:id="99" w:name="_Toc10299"/>
            <w:bookmarkStart w:id="100" w:name="_Toc9056"/>
            <w:r>
              <w:rPr>
                <w:rFonts w:hint="eastAsia"/>
              </w:rPr>
              <w:t>废气治理措施</w:t>
            </w:r>
            <w:bookmarkEnd w:id="95"/>
            <w:bookmarkEnd w:id="96"/>
            <w:bookmarkEnd w:id="97"/>
            <w:bookmarkEnd w:id="98"/>
            <w:bookmarkEnd w:id="99"/>
            <w:bookmarkEnd w:id="100"/>
          </w:p>
          <w:p>
            <w:pPr>
              <w:pStyle w:val="4"/>
              <w:rPr>
                <w:rFonts w:hint="eastAsia"/>
                <w:lang w:val="en-US" w:eastAsia="zh-CN"/>
              </w:rPr>
            </w:pPr>
            <w:r>
              <w:rPr>
                <w:rFonts w:hint="eastAsia"/>
                <w:lang w:val="en-US" w:eastAsia="zh-CN"/>
              </w:rPr>
              <w:t>印花废气：经活性炭吸附处理后15m高排气筒达标排放。</w:t>
            </w:r>
          </w:p>
          <w:p>
            <w:pPr>
              <w:pStyle w:val="4"/>
              <w:rPr>
                <w:rFonts w:hint="eastAsia" w:eastAsiaTheme="majorEastAsia"/>
                <w:lang w:val="en-US" w:eastAsia="zh-CN"/>
              </w:rPr>
            </w:pPr>
            <w:r>
              <w:rPr>
                <w:rFonts w:hint="eastAsia" w:hAnsi="宋体"/>
                <w:sz w:val="24"/>
              </w:rPr>
              <w:t>由监测数据可知，本项目营运期</w:t>
            </w:r>
            <w:r>
              <w:rPr>
                <w:rFonts w:hint="eastAsia" w:hAnsi="宋体"/>
                <w:sz w:val="24"/>
                <w:lang w:eastAsia="zh-CN"/>
              </w:rPr>
              <w:t>印花废气</w:t>
            </w:r>
            <w:r>
              <w:rPr>
                <w:rFonts w:hint="eastAsia" w:hAnsi="宋体"/>
                <w:sz w:val="24"/>
              </w:rPr>
              <w:t>排放均能够稳定达到《</w:t>
            </w:r>
            <w:r>
              <w:rPr>
                <w:rFonts w:hint="eastAsia" w:hAnsi="宋体"/>
                <w:sz w:val="24"/>
                <w:lang w:eastAsia="zh-CN"/>
              </w:rPr>
              <w:t>大气污染物综合排放标准</w:t>
            </w:r>
            <w:r>
              <w:rPr>
                <w:rFonts w:hint="eastAsia" w:hAnsi="宋体"/>
                <w:sz w:val="24"/>
              </w:rPr>
              <w:t xml:space="preserve">》（GB </w:t>
            </w:r>
            <w:r>
              <w:rPr>
                <w:rFonts w:hint="eastAsia" w:hAnsi="宋体"/>
                <w:sz w:val="24"/>
                <w:lang w:val="en-US" w:eastAsia="zh-CN"/>
              </w:rPr>
              <w:t>16297</w:t>
            </w:r>
            <w:r>
              <w:rPr>
                <w:rFonts w:hint="eastAsia" w:hAnsi="宋体"/>
                <w:sz w:val="24"/>
              </w:rPr>
              <w:t>-</w:t>
            </w:r>
            <w:r>
              <w:rPr>
                <w:rFonts w:hint="eastAsia" w:hAnsi="宋体"/>
                <w:sz w:val="24"/>
                <w:lang w:val="en-US" w:eastAsia="zh-CN"/>
              </w:rPr>
              <w:t>1996</w:t>
            </w:r>
            <w:r>
              <w:rPr>
                <w:rFonts w:hint="eastAsia" w:hAnsi="宋体"/>
                <w:sz w:val="24"/>
              </w:rPr>
              <w:t>）</w:t>
            </w:r>
            <w:r>
              <w:rPr>
                <w:rFonts w:hint="eastAsia" w:hAnsi="宋体"/>
                <w:sz w:val="24"/>
                <w:lang w:eastAsia="zh-CN"/>
              </w:rPr>
              <w:t>二级标准。</w:t>
            </w:r>
          </w:p>
          <w:p>
            <w:pPr>
              <w:pStyle w:val="6"/>
            </w:pPr>
            <w:bookmarkStart w:id="101" w:name="_Toc3196"/>
            <w:bookmarkStart w:id="102" w:name="_Toc786"/>
            <w:bookmarkStart w:id="103" w:name="_Toc24282"/>
            <w:bookmarkStart w:id="104" w:name="_Toc9239"/>
            <w:bookmarkStart w:id="105" w:name="_Toc23753"/>
            <w:bookmarkStart w:id="106" w:name="_Toc19755"/>
            <w:r>
              <w:rPr>
                <w:rFonts w:hint="eastAsia"/>
              </w:rPr>
              <w:t>废水治理措施</w:t>
            </w:r>
            <w:bookmarkEnd w:id="101"/>
            <w:bookmarkEnd w:id="102"/>
            <w:bookmarkEnd w:id="103"/>
            <w:bookmarkEnd w:id="104"/>
            <w:bookmarkEnd w:id="105"/>
            <w:bookmarkEnd w:id="106"/>
          </w:p>
          <w:p>
            <w:pPr>
              <w:pStyle w:val="4"/>
              <w:rPr>
                <w:rFonts w:hint="eastAsia"/>
                <w:lang w:val="en-US" w:eastAsia="zh-CN"/>
              </w:rPr>
            </w:pPr>
            <w:r>
              <w:rPr>
                <w:rFonts w:hint="eastAsia"/>
                <w:lang w:val="en-US" w:eastAsia="zh-CN"/>
              </w:rPr>
              <w:t>清洗废水：本项目清洗废水经处理后100%用于回用。</w:t>
            </w:r>
          </w:p>
          <w:p>
            <w:pPr>
              <w:pStyle w:val="4"/>
              <w:rPr>
                <w:rFonts w:hint="default"/>
                <w:lang w:val="en-US" w:eastAsia="zh-CN"/>
              </w:rPr>
            </w:pPr>
            <w:r>
              <w:rPr>
                <w:rFonts w:hint="eastAsia"/>
                <w:lang w:val="en-US" w:eastAsia="zh-CN"/>
              </w:rPr>
              <w:t>生活污水：经化粪池处理后纳管排放。</w:t>
            </w:r>
          </w:p>
          <w:p>
            <w:pPr>
              <w:pStyle w:val="6"/>
            </w:pPr>
            <w:bookmarkStart w:id="107" w:name="_Toc5360"/>
            <w:bookmarkStart w:id="108" w:name="_Toc278"/>
            <w:bookmarkStart w:id="109" w:name="_Toc24050"/>
            <w:bookmarkStart w:id="110" w:name="_Toc13749"/>
            <w:bookmarkStart w:id="111" w:name="_Toc556"/>
            <w:bookmarkStart w:id="112" w:name="_Toc24024"/>
            <w:r>
              <w:rPr>
                <w:rFonts w:hint="eastAsia"/>
              </w:rPr>
              <w:t>噪声治理措施</w:t>
            </w:r>
            <w:bookmarkEnd w:id="107"/>
            <w:bookmarkEnd w:id="108"/>
            <w:bookmarkEnd w:id="109"/>
            <w:bookmarkEnd w:id="110"/>
            <w:bookmarkEnd w:id="111"/>
            <w:bookmarkEnd w:id="112"/>
          </w:p>
          <w:p>
            <w:pPr>
              <w:adjustRightInd w:val="0"/>
              <w:snapToGrid w:val="0"/>
              <w:spacing w:line="360" w:lineRule="auto"/>
              <w:ind w:firstLine="480" w:firstLineChars="200"/>
              <w:rPr>
                <w:rFonts w:hint="eastAsia" w:hAnsi="宋体"/>
                <w:sz w:val="24"/>
              </w:rPr>
            </w:pPr>
            <w:r>
              <w:rPr>
                <w:rFonts w:hint="eastAsia" w:hAnsi="宋体"/>
                <w:sz w:val="24"/>
                <w:lang w:eastAsia="zh-CN"/>
              </w:rPr>
              <w:t>本项目以手工操作为主，无强噪声源，对环境影响不大。通过厂房实墙隔声，</w:t>
            </w:r>
            <w:r>
              <w:rPr>
                <w:rFonts w:hint="eastAsia" w:hAnsi="宋体"/>
                <w:sz w:val="24"/>
              </w:rPr>
              <w:t>采取消音、隔音措施，</w:t>
            </w:r>
            <w:r>
              <w:rPr>
                <w:rFonts w:hint="eastAsia" w:hAnsi="宋体"/>
                <w:sz w:val="24"/>
                <w:lang w:eastAsia="zh-CN"/>
              </w:rPr>
              <w:t>厂界噪声</w:t>
            </w:r>
            <w:r>
              <w:rPr>
                <w:rFonts w:hint="eastAsia" w:hAnsi="宋体"/>
                <w:sz w:val="24"/>
              </w:rPr>
              <w:t>达到《工业企业厂界环境噪声排放标准》（GB12348-2008）</w:t>
            </w:r>
            <w:r>
              <w:rPr>
                <w:rFonts w:hint="eastAsia"/>
                <w:lang w:val="en-US" w:eastAsia="zh-CN"/>
              </w:rPr>
              <w:t>Ⅱ</w:t>
            </w:r>
            <w:r>
              <w:rPr>
                <w:rFonts w:hint="eastAsia" w:hAnsi="宋体"/>
                <w:sz w:val="24"/>
                <w:lang w:val="en-US" w:eastAsia="zh-CN"/>
              </w:rPr>
              <w:t>类区标准</w:t>
            </w:r>
            <w:r>
              <w:rPr>
                <w:rFonts w:hint="eastAsia" w:hAnsi="宋体"/>
                <w:sz w:val="24"/>
              </w:rPr>
              <w:t>。</w:t>
            </w:r>
          </w:p>
          <w:p>
            <w:pPr>
              <w:adjustRightInd w:val="0"/>
              <w:snapToGrid w:val="0"/>
              <w:spacing w:line="360" w:lineRule="auto"/>
              <w:ind w:firstLine="480" w:firstLineChars="200"/>
              <w:rPr>
                <w:rFonts w:hint="eastAsia" w:hAnsi="宋体"/>
                <w:sz w:val="24"/>
              </w:rPr>
            </w:pPr>
            <w:r>
              <w:rPr>
                <w:rFonts w:hint="eastAsia" w:hAnsi="宋体"/>
                <w:sz w:val="24"/>
              </w:rPr>
              <w:t>由监测数据可知，本项目营运期厂界噪声排放均能够稳定达到《工业企业厂界环境噪声排放标准》（GB12348-2008）</w:t>
            </w:r>
            <w:r>
              <w:rPr>
                <w:rFonts w:hint="eastAsia"/>
                <w:lang w:val="en-US" w:eastAsia="zh-CN"/>
              </w:rPr>
              <w:t>Ⅱ</w:t>
            </w:r>
            <w:r>
              <w:rPr>
                <w:rFonts w:hint="eastAsia" w:hAnsi="宋体"/>
                <w:sz w:val="24"/>
                <w:lang w:val="en-US" w:eastAsia="zh-CN"/>
              </w:rPr>
              <w:t>类区标准，即昼间60dB、夜间50dB</w:t>
            </w:r>
            <w:r>
              <w:rPr>
                <w:rFonts w:hint="eastAsia" w:hAnsi="宋体"/>
                <w:sz w:val="24"/>
              </w:rPr>
              <w:t>。</w:t>
            </w:r>
          </w:p>
          <w:p>
            <w:pPr>
              <w:pStyle w:val="6"/>
            </w:pPr>
            <w:bookmarkStart w:id="113" w:name="_Toc11460"/>
            <w:bookmarkStart w:id="114" w:name="_Toc23440"/>
            <w:bookmarkStart w:id="115" w:name="_Toc29904"/>
            <w:bookmarkStart w:id="116" w:name="_Toc19961"/>
            <w:bookmarkStart w:id="117" w:name="_Toc2890"/>
            <w:bookmarkStart w:id="118" w:name="_Toc31507"/>
            <w:r>
              <w:rPr>
                <w:rFonts w:hint="eastAsia"/>
              </w:rPr>
              <w:t>固废治理措施</w:t>
            </w:r>
            <w:bookmarkEnd w:id="113"/>
            <w:bookmarkEnd w:id="114"/>
            <w:bookmarkEnd w:id="115"/>
            <w:bookmarkEnd w:id="116"/>
            <w:bookmarkEnd w:id="117"/>
            <w:bookmarkEnd w:id="118"/>
          </w:p>
          <w:p>
            <w:pPr>
              <w:pStyle w:val="4"/>
            </w:pPr>
            <w:r>
              <w:rPr>
                <w:rFonts w:hint="eastAsia"/>
                <w:bCs/>
                <w:color w:val="auto"/>
                <w:lang w:val="en-US" w:eastAsia="zh-CN"/>
              </w:rPr>
              <w:t>本项目产生的固体废弃物主要有废原辅材料桶、油漆渣和职工生活垃圾。油漆渣</w:t>
            </w:r>
            <w:r>
              <w:rPr>
                <w:rFonts w:hint="eastAsia"/>
                <w:color w:val="auto"/>
                <w:lang w:val="en-US" w:eastAsia="zh-CN"/>
              </w:rPr>
              <w:t>定期交</w:t>
            </w:r>
            <w:r>
              <w:rPr>
                <w:rFonts w:hint="eastAsia"/>
                <w:bCs/>
                <w:color w:val="auto"/>
                <w:lang w:val="en-US" w:eastAsia="zh-CN"/>
              </w:rPr>
              <w:t>宁波甬润再生资源回收有限公司</w:t>
            </w:r>
            <w:r>
              <w:rPr>
                <w:rFonts w:hint="eastAsia"/>
                <w:color w:val="auto"/>
                <w:lang w:val="en-US" w:eastAsia="zh-CN"/>
              </w:rPr>
              <w:t>清运处理，</w:t>
            </w:r>
            <w:r>
              <w:rPr>
                <w:rFonts w:hint="eastAsia"/>
                <w:bCs/>
                <w:color w:val="auto"/>
                <w:lang w:val="en-US" w:eastAsia="zh-CN"/>
              </w:rPr>
              <w:t>生活垃圾</w:t>
            </w:r>
            <w:r>
              <w:rPr>
                <w:rFonts w:hint="eastAsia"/>
                <w:color w:val="auto"/>
                <w:lang w:val="en-US" w:eastAsia="zh-CN"/>
              </w:rPr>
              <w:t>委托环卫部门清运处置，</w:t>
            </w:r>
            <w:r>
              <w:rPr>
                <w:rFonts w:hint="eastAsia"/>
                <w:bCs/>
                <w:color w:val="auto"/>
                <w:lang w:val="en-US" w:eastAsia="zh-CN"/>
              </w:rPr>
              <w:t>废原辅材料桶</w:t>
            </w:r>
            <w:r>
              <w:rPr>
                <w:rFonts w:hint="eastAsia"/>
                <w:color w:val="auto"/>
                <w:lang w:val="en-US" w:eastAsia="zh-CN"/>
              </w:rPr>
              <w:t>厂家回收利用。</w:t>
            </w:r>
          </w:p>
          <w:p>
            <w:pPr>
              <w:pStyle w:val="4"/>
            </w:pPr>
          </w:p>
        </w:tc>
      </w:tr>
    </w:tbl>
    <w:p>
      <w:pPr>
        <w:spacing w:line="360" w:lineRule="auto"/>
        <w:rPr>
          <w:rFonts w:eastAsia="仿宋_GB2312"/>
          <w:color w:val="000000"/>
          <w:szCs w:val="21"/>
        </w:rPr>
        <w:sectPr>
          <w:pgSz w:w="11906" w:h="16838"/>
          <w:pgMar w:top="1417" w:right="1417" w:bottom="1417" w:left="1417" w:header="708" w:footer="708" w:gutter="0"/>
          <w:pgBorders>
            <w:top w:val="none" w:sz="0" w:space="0"/>
            <w:left w:val="none" w:sz="0" w:space="0"/>
            <w:bottom w:val="none" w:sz="0" w:space="0"/>
            <w:right w:val="none" w:sz="0" w:space="0"/>
          </w:pgBorders>
          <w:pgNumType w:fmt="numberInDash"/>
          <w:cols w:space="720" w:num="1"/>
          <w:docGrid w:linePitch="360" w:charSpace="0"/>
        </w:sectPr>
      </w:pPr>
    </w:p>
    <w:p>
      <w:pPr>
        <w:pStyle w:val="3"/>
        <w:rPr>
          <w:rFonts w:eastAsia="仿宋_GB2312"/>
        </w:rPr>
      </w:pPr>
      <w:bookmarkStart w:id="119" w:name="_Toc17576"/>
      <w:bookmarkStart w:id="120" w:name="_Toc2382"/>
      <w:r>
        <w:rPr>
          <w:rFonts w:hint="eastAsia"/>
        </w:rPr>
        <w:t>验收监测质量保证及质量控制：</w:t>
      </w:r>
      <w:bookmarkEnd w:id="119"/>
      <w:bookmarkEnd w:id="120"/>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6" w:hRule="atLeast"/>
          <w:jc w:val="center"/>
        </w:trPr>
        <w:tc>
          <w:tcPr>
            <w:tcW w:w="8924" w:type="dxa"/>
          </w:tcPr>
          <w:p>
            <w:pPr>
              <w:pStyle w:val="5"/>
            </w:pPr>
            <w:bookmarkStart w:id="121" w:name="_Toc518567419"/>
            <w:bookmarkEnd w:id="121"/>
            <w:bookmarkStart w:id="122" w:name="_Toc529265100"/>
            <w:bookmarkEnd w:id="122"/>
            <w:bookmarkStart w:id="123" w:name="_Toc524703340"/>
            <w:bookmarkEnd w:id="123"/>
            <w:bookmarkStart w:id="124" w:name="_Toc524703407"/>
            <w:bookmarkEnd w:id="124"/>
            <w:bookmarkStart w:id="125" w:name="_Toc519179434"/>
            <w:bookmarkEnd w:id="125"/>
            <w:bookmarkStart w:id="126" w:name="_Toc519235236"/>
            <w:bookmarkEnd w:id="126"/>
            <w:bookmarkStart w:id="127" w:name="_Toc519235302"/>
            <w:bookmarkEnd w:id="127"/>
            <w:bookmarkStart w:id="128" w:name="_Toc531879836"/>
            <w:bookmarkEnd w:id="128"/>
            <w:bookmarkStart w:id="129" w:name="_Toc531881911"/>
            <w:bookmarkEnd w:id="129"/>
            <w:bookmarkStart w:id="130" w:name="_Toc13607"/>
            <w:bookmarkStart w:id="131" w:name="_Toc508447116"/>
            <w:bookmarkStart w:id="132" w:name="_Toc29128"/>
            <w:r>
              <w:rPr>
                <w:rFonts w:hint="eastAsia"/>
              </w:rPr>
              <w:t>监测分析方法</w:t>
            </w:r>
            <w:bookmarkEnd w:id="130"/>
            <w:bookmarkEnd w:id="131"/>
            <w:bookmarkEnd w:id="132"/>
          </w:p>
          <w:p>
            <w:pPr>
              <w:pStyle w:val="4"/>
            </w:pPr>
            <w:r>
              <w:rPr>
                <w:rFonts w:hint="eastAsia"/>
              </w:rPr>
              <w:t>具体见表5.1-1。</w:t>
            </w:r>
          </w:p>
          <w:p>
            <w:pPr>
              <w:pStyle w:val="15"/>
              <w:rPr>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表5.1-1  检测依据一览表</w:t>
            </w:r>
          </w:p>
          <w:tbl>
            <w:tblPr>
              <w:tblStyle w:val="3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677"/>
              <w:gridCol w:w="58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9" w:hRule="atLeast"/>
                <w:jc w:val="center"/>
              </w:trPr>
              <w:tc>
                <w:tcPr>
                  <w:tcW w:w="864" w:type="pct"/>
                  <w:vAlign w:val="center"/>
                </w:tcPr>
                <w:p>
                  <w:pPr>
                    <w:spacing w:line="360" w:lineRule="auto"/>
                    <w:jc w:val="center"/>
                    <w:rPr>
                      <w:rFonts w:eastAsiaTheme="minorEastAsia"/>
                      <w:color w:val="000000" w:themeColor="text1"/>
                      <w:sz w:val="21"/>
                      <w:szCs w:val="21"/>
                      <w14:textFill>
                        <w14:solidFill>
                          <w14:schemeClr w14:val="tx1"/>
                        </w14:solidFill>
                      </w14:textFill>
                    </w:rPr>
                  </w:pPr>
                  <w:bookmarkStart w:id="133" w:name="_Toc508447117"/>
                  <w:r>
                    <w:rPr>
                      <w:rFonts w:eastAsiaTheme="minorEastAsia"/>
                      <w:color w:val="000000" w:themeColor="text1"/>
                      <w:sz w:val="21"/>
                      <w:szCs w:val="21"/>
                      <w14:textFill>
                        <w14:solidFill>
                          <w14:schemeClr w14:val="tx1"/>
                        </w14:solidFill>
                      </w14:textFill>
                    </w:rPr>
                    <w:t>项目类别</w:t>
                  </w:r>
                </w:p>
              </w:tc>
              <w:tc>
                <w:tcPr>
                  <w:tcW w:w="924" w:type="pct"/>
                  <w:vAlign w:val="center"/>
                </w:tcPr>
                <w:p>
                  <w:pPr>
                    <w:spacing w:line="360" w:lineRule="auto"/>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检测项目</w:t>
                  </w:r>
                </w:p>
              </w:tc>
              <w:tc>
                <w:tcPr>
                  <w:tcW w:w="3211" w:type="pct"/>
                  <w:vAlign w:val="center"/>
                </w:tcPr>
                <w:p>
                  <w:pPr>
                    <w:spacing w:line="360" w:lineRule="auto"/>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检测标准（方法）名称及编号（含年号）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64" w:type="pct"/>
                  <w:vAlign w:val="center"/>
                </w:tcPr>
                <w:p>
                  <w:pPr>
                    <w:spacing w:line="360" w:lineRule="auto"/>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有</w:t>
                  </w:r>
                  <w:r>
                    <w:rPr>
                      <w:rFonts w:eastAsiaTheme="minorEastAsia"/>
                      <w:color w:val="000000" w:themeColor="text1"/>
                      <w:sz w:val="21"/>
                      <w:szCs w:val="21"/>
                      <w14:textFill>
                        <w14:solidFill>
                          <w14:schemeClr w14:val="tx1"/>
                        </w14:solidFill>
                      </w14:textFill>
                    </w:rPr>
                    <w:t>组织废气</w:t>
                  </w:r>
                </w:p>
              </w:tc>
              <w:tc>
                <w:tcPr>
                  <w:tcW w:w="924" w:type="pct"/>
                  <w:vAlign w:val="center"/>
                </w:tcPr>
                <w:p>
                  <w:pPr>
                    <w:pStyle w:val="104"/>
                    <w:widowControl w:val="0"/>
                    <w:jc w:val="center"/>
                    <w:rPr>
                      <w:rFonts w:hint="default"/>
                      <w:lang w:val="en-US" w:eastAsia="zh-CN"/>
                    </w:rPr>
                  </w:pPr>
                  <w:r>
                    <w:rPr>
                      <w:rFonts w:hint="eastAsia" w:ascii="Times New Roman" w:hAnsi="宋体" w:eastAsia="宋体"/>
                      <w:sz w:val="24"/>
                      <w:szCs w:val="24"/>
                    </w:rPr>
                    <w:t>非甲烷总烃</w:t>
                  </w:r>
                </w:p>
              </w:tc>
              <w:tc>
                <w:tcPr>
                  <w:tcW w:w="3211" w:type="pct"/>
                  <w:vAlign w:val="center"/>
                </w:tcPr>
                <w:p>
                  <w:pPr>
                    <w:spacing w:after="0"/>
                    <w:rPr>
                      <w:rFonts w:hint="default" w:ascii="Times New Roman" w:hAnsi="Times New Roman" w:cs="Times New Roman" w:eastAsiaTheme="minorEastAsia"/>
                      <w:color w:val="000000" w:themeColor="text1"/>
                      <w:spacing w:val="-6"/>
                      <w:sz w:val="21"/>
                      <w:szCs w:val="21"/>
                      <w:lang w:val="en-US" w:eastAsia="zh-CN"/>
                      <w14:textFill>
                        <w14:solidFill>
                          <w14:schemeClr w14:val="tx1"/>
                        </w14:solidFill>
                      </w14:textFill>
                    </w:rPr>
                  </w:pPr>
                  <w:r>
                    <w:rPr>
                      <w:rFonts w:hint="eastAsia" w:ascii="Times New Roman" w:hAnsi="宋体" w:eastAsia="宋体"/>
                      <w:sz w:val="24"/>
                      <w:szCs w:val="24"/>
                      <w:lang w:val="en-US" w:eastAsia="zh-CN"/>
                    </w:rPr>
                    <w:t>固定污染源废气 总烃、甲烷和非甲烷总烃的测定 气相色谱法</w:t>
                  </w:r>
                  <w:r>
                    <w:rPr>
                      <w:rFonts w:hint="eastAsia" w:ascii="Times New Roman" w:hAnsi="宋体"/>
                      <w:sz w:val="24"/>
                      <w:szCs w:val="24"/>
                      <w:lang w:val="en-US" w:eastAsia="zh-CN"/>
                    </w:rPr>
                    <w:t xml:space="preserve"> </w:t>
                  </w:r>
                  <w:r>
                    <w:rPr>
                      <w:rFonts w:hint="eastAsia" w:ascii="Times New Roman" w:hAnsi="宋体" w:eastAsia="宋体"/>
                      <w:sz w:val="24"/>
                      <w:szCs w:val="24"/>
                      <w:lang w:val="en-US" w:eastAsia="zh-CN"/>
                    </w:rPr>
                    <w:t>HJ 38-2017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60" w:hRule="atLeast"/>
                <w:jc w:val="center"/>
              </w:trPr>
              <w:tc>
                <w:tcPr>
                  <w:tcW w:w="864" w:type="pct"/>
                  <w:vAlign w:val="center"/>
                </w:tcPr>
                <w:p>
                  <w:pPr>
                    <w:spacing w:line="360" w:lineRule="auto"/>
                    <w:jc w:val="center"/>
                    <w:rPr>
                      <w:rFonts w:hint="eastAsia"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无组织废气</w:t>
                  </w:r>
                </w:p>
              </w:tc>
              <w:tc>
                <w:tcPr>
                  <w:tcW w:w="924" w:type="pct"/>
                  <w:vAlign w:val="center"/>
                </w:tcPr>
                <w:p>
                  <w:pPr>
                    <w:pStyle w:val="104"/>
                    <w:widowControl w:val="0"/>
                    <w:jc w:val="center"/>
                    <w:rPr>
                      <w:rFonts w:hint="eastAsia"/>
                      <w:lang w:val="en-US" w:eastAsia="zh-CN"/>
                    </w:rPr>
                  </w:pPr>
                  <w:r>
                    <w:rPr>
                      <w:rFonts w:hint="eastAsia" w:ascii="Times New Roman" w:hAnsi="宋体" w:eastAsia="宋体"/>
                      <w:sz w:val="24"/>
                      <w:szCs w:val="24"/>
                    </w:rPr>
                    <w:t>非甲烷总烃</w:t>
                  </w:r>
                </w:p>
              </w:tc>
              <w:tc>
                <w:tcPr>
                  <w:tcW w:w="3211" w:type="pct"/>
                  <w:vAlign w:val="center"/>
                </w:tcPr>
                <w:p>
                  <w:pPr>
                    <w:pStyle w:val="104"/>
                    <w:widowControl w:val="0"/>
                    <w:jc w:val="both"/>
                    <w:rPr>
                      <w:rFonts w:hint="eastAsia" w:ascii="Times New Roman" w:hAnsi="Times New Roman" w:cs="Times New Roman" w:eastAsiaTheme="minorEastAsia"/>
                      <w:color w:val="000000" w:themeColor="text1"/>
                      <w:spacing w:val="-6"/>
                      <w:sz w:val="21"/>
                      <w:szCs w:val="21"/>
                      <w:lang w:val="en-US" w:eastAsia="zh-CN"/>
                      <w14:textFill>
                        <w14:solidFill>
                          <w14:schemeClr w14:val="tx1"/>
                        </w14:solidFill>
                      </w14:textFill>
                    </w:rPr>
                  </w:pPr>
                  <w:r>
                    <w:rPr>
                      <w:rFonts w:hint="eastAsia" w:ascii="Times New Roman" w:hAnsi="Times New Roman" w:eastAsia="宋体"/>
                      <w:sz w:val="24"/>
                      <w:szCs w:val="24"/>
                    </w:rPr>
                    <w:t>环境空气 总烃、甲烷和非甲烷总烃的测定直接进样-气相色谱法</w:t>
                  </w:r>
                  <w:r>
                    <w:rPr>
                      <w:rFonts w:hint="eastAsia" w:ascii="Times New Roman" w:hAnsi="Times New Roman"/>
                      <w:sz w:val="24"/>
                      <w:szCs w:val="24"/>
                      <w:lang w:val="en-US" w:eastAsia="zh-CN"/>
                    </w:rPr>
                    <w:t xml:space="preserve"> </w:t>
                  </w:r>
                  <w:r>
                    <w:rPr>
                      <w:rFonts w:ascii="Times New Roman" w:hAnsi="Times New Roman" w:eastAsia="宋体"/>
                      <w:sz w:val="24"/>
                      <w:szCs w:val="24"/>
                    </w:rPr>
                    <w:t>HJ 604-2017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9" w:hRule="atLeast"/>
                <w:jc w:val="center"/>
              </w:trPr>
              <w:tc>
                <w:tcPr>
                  <w:tcW w:w="864" w:type="pct"/>
                  <w:vAlign w:val="center"/>
                </w:tcPr>
                <w:p>
                  <w:pPr>
                    <w:spacing w:line="360" w:lineRule="auto"/>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924" w:type="pct"/>
                  <w:vAlign w:val="center"/>
                </w:tcPr>
                <w:p>
                  <w:pPr>
                    <w:spacing w:line="360" w:lineRule="auto"/>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工业企业厂界环境噪声</w:t>
                  </w:r>
                </w:p>
              </w:tc>
              <w:tc>
                <w:tcPr>
                  <w:tcW w:w="3211" w:type="pct"/>
                  <w:vAlign w:val="center"/>
                </w:tcPr>
                <w:p>
                  <w:pPr>
                    <w:spacing w:line="360" w:lineRule="auto"/>
                    <w:jc w:val="both"/>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工业企业厂界环境噪声排放标准 GB 12348-2008</w:t>
                  </w:r>
                </w:p>
              </w:tc>
            </w:tr>
          </w:tbl>
          <w:p>
            <w:pPr>
              <w:pStyle w:val="5"/>
            </w:pPr>
            <w:bookmarkStart w:id="134" w:name="_Toc30794"/>
            <w:bookmarkStart w:id="135" w:name="_Toc28682"/>
            <w:r>
              <w:rPr>
                <w:rFonts w:hint="eastAsia"/>
              </w:rPr>
              <w:t>监测仪器</w:t>
            </w:r>
            <w:bookmarkEnd w:id="133"/>
            <w:bookmarkEnd w:id="134"/>
            <w:bookmarkEnd w:id="135"/>
          </w:p>
          <w:p>
            <w:pPr>
              <w:pStyle w:val="4"/>
            </w:pPr>
            <w:r>
              <w:rPr>
                <w:rFonts w:hint="eastAsia"/>
              </w:rPr>
              <w:t>监测仪器均经有资质的单位检定、校准合格后使用，保证监测数据的有效。</w:t>
            </w:r>
          </w:p>
          <w:p>
            <w:pPr>
              <w:pStyle w:val="5"/>
            </w:pPr>
            <w:bookmarkStart w:id="136" w:name="_Toc4849"/>
            <w:bookmarkStart w:id="137" w:name="_Toc508447118"/>
            <w:bookmarkStart w:id="138" w:name="_Toc15011"/>
            <w:r>
              <w:rPr>
                <w:rFonts w:hint="eastAsia"/>
              </w:rPr>
              <w:t>人员资质</w:t>
            </w:r>
            <w:bookmarkEnd w:id="136"/>
            <w:bookmarkEnd w:id="137"/>
            <w:bookmarkEnd w:id="138"/>
          </w:p>
          <w:p>
            <w:pPr>
              <w:pStyle w:val="4"/>
            </w:pPr>
            <w:r>
              <w:rPr>
                <w:rFonts w:hint="eastAsia"/>
              </w:rPr>
              <w:t>监测人员经过考核并持有合格证书。</w:t>
            </w:r>
          </w:p>
          <w:p>
            <w:pPr>
              <w:pStyle w:val="5"/>
            </w:pPr>
            <w:bookmarkStart w:id="139" w:name="_Toc508447119"/>
            <w:bookmarkStart w:id="140" w:name="_Toc28922"/>
            <w:bookmarkStart w:id="141" w:name="_Toc1388"/>
            <w:r>
              <w:rPr>
                <w:rFonts w:hint="eastAsia"/>
              </w:rPr>
              <w:t>质量保证和质量控制</w:t>
            </w:r>
            <w:bookmarkEnd w:id="139"/>
            <w:bookmarkEnd w:id="140"/>
            <w:bookmarkEnd w:id="141"/>
          </w:p>
          <w:p>
            <w:pPr>
              <w:pStyle w:val="4"/>
            </w:pPr>
            <w:r>
              <w:rPr>
                <w:rFonts w:hint="eastAsia"/>
              </w:rPr>
              <w:t>1）环保设施竣工验收现场监测，按规定满足相应的工况条件，否则负责验收监测的单位立即停止现场采用和测试；</w:t>
            </w:r>
          </w:p>
          <w:p>
            <w:pPr>
              <w:pStyle w:val="4"/>
            </w:pPr>
            <w:r>
              <w:rPr>
                <w:rFonts w:hint="eastAsia"/>
              </w:rPr>
              <w:t>2）现场采用和测试严格按《验收监测方案》进行，并对监测期间发生的各种异常情况进行详细记录，对未能按《验收监测方案》进行现场采样和测试的原因予以详细说明；</w:t>
            </w:r>
          </w:p>
          <w:p>
            <w:pPr>
              <w:pStyle w:val="4"/>
            </w:pPr>
            <w:r>
              <w:rPr>
                <w:rFonts w:hint="eastAsia"/>
              </w:rPr>
              <w:t>3）环保设施竣工验收监测中使用的布点、采样、分析测试方法，首先选择目前适用的国家和行业标准分析方法、监测技术规范，其次是国家环保部推荐的统一分析方法或试行分析方法以及有关规定等；</w:t>
            </w:r>
          </w:p>
          <w:p>
            <w:pPr>
              <w:pStyle w:val="4"/>
            </w:pPr>
            <w:r>
              <w:rPr>
                <w:rFonts w:hint="eastAsia"/>
              </w:rPr>
              <w:t>4）环保设施竣工验收的质量保证和质量控制，按国家有关规定、监测技术规范和有关质量控制手册进行；</w:t>
            </w:r>
          </w:p>
          <w:p>
            <w:pPr>
              <w:pStyle w:val="4"/>
            </w:pPr>
            <w:r>
              <w:rPr>
                <w:rFonts w:hint="eastAsia"/>
              </w:rPr>
              <w:t>5）参加环保设施竣工验收监测采样和测试的人员，按国家有关规定持证上岗；</w:t>
            </w:r>
          </w:p>
          <w:p>
            <w:pPr>
              <w:pStyle w:val="4"/>
            </w:pPr>
            <w:r>
              <w:rPr>
                <w:rFonts w:hint="eastAsia"/>
              </w:rPr>
              <w:t>6）气体监测分析过程中的质量保证和质量控制；采样器在进现场前对气体分析、采样器流量计等进行校核；</w:t>
            </w:r>
          </w:p>
          <w:p>
            <w:pPr>
              <w:pStyle w:val="4"/>
            </w:pPr>
            <w:r>
              <w:rPr>
                <w:rFonts w:hint="eastAsia"/>
              </w:rPr>
              <w:t>7）噪声监测分析过程中的质量保证和质量控制；监测时使用经计量部门检定、并在有效使用期内的声级计；</w:t>
            </w:r>
          </w:p>
          <w:p>
            <w:pPr>
              <w:pStyle w:val="4"/>
            </w:pPr>
            <w:r>
              <w:rPr>
                <w:rFonts w:hint="eastAsia"/>
              </w:rPr>
              <w:t>8）验收监测的采样记录及分析测试结果，按国家标准和监测技术规范有关要求进行数据处理和填报，并按有关规定和要求进行三级审核。</w:t>
            </w:r>
          </w:p>
          <w:p>
            <w:pPr>
              <w:spacing w:before="48" w:beforeLines="20" w:line="360" w:lineRule="auto"/>
              <w:rPr>
                <w:rFonts w:eastAsia="仿宋_GB2312"/>
                <w:color w:val="000000"/>
                <w:szCs w:val="21"/>
              </w:rPr>
            </w:pPr>
          </w:p>
        </w:tc>
      </w:tr>
    </w:tbl>
    <w:p>
      <w:pPr>
        <w:spacing w:line="360" w:lineRule="auto"/>
        <w:rPr>
          <w:rFonts w:eastAsia="仿宋_GB2312"/>
          <w:color w:val="000000"/>
          <w:szCs w:val="21"/>
        </w:rPr>
        <w:sectPr>
          <w:pgSz w:w="11906" w:h="16838"/>
          <w:pgMar w:top="1417" w:right="1417" w:bottom="1417" w:left="1417" w:header="708" w:footer="708" w:gutter="0"/>
          <w:pgBorders>
            <w:top w:val="none" w:sz="0" w:space="0"/>
            <w:left w:val="none" w:sz="0" w:space="0"/>
            <w:bottom w:val="none" w:sz="0" w:space="0"/>
            <w:right w:val="none" w:sz="0" w:space="0"/>
          </w:pgBorders>
          <w:pgNumType w:fmt="numberInDash"/>
          <w:cols w:space="720" w:num="1"/>
          <w:docGrid w:linePitch="360" w:charSpace="0"/>
        </w:sectPr>
      </w:pPr>
    </w:p>
    <w:p>
      <w:pPr>
        <w:pStyle w:val="3"/>
      </w:pPr>
      <w:bookmarkStart w:id="142" w:name="_Toc32341"/>
      <w:bookmarkStart w:id="143" w:name="_Toc30023"/>
      <w:r>
        <w:rPr>
          <w:rFonts w:hint="eastAsia"/>
        </w:rPr>
        <w:t>验收监测内容</w:t>
      </w:r>
      <w:bookmarkEnd w:id="142"/>
      <w:bookmarkEnd w:id="143"/>
    </w:p>
    <w:tbl>
      <w:tblPr>
        <w:tblStyle w:val="37"/>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pPr>
              <w:pStyle w:val="86"/>
            </w:pPr>
            <w:r>
              <w:rPr>
                <w:rFonts w:hint="eastAsia"/>
              </w:rPr>
              <w:t>验收监测方案根据《建设项目竣工环境保护验收技术指南 污染影响类》中的验收监测技术要求。</w:t>
            </w:r>
          </w:p>
          <w:p>
            <w:pPr>
              <w:pStyle w:val="5"/>
            </w:pPr>
            <w:bookmarkStart w:id="144" w:name="_Toc529265106"/>
            <w:bookmarkEnd w:id="144"/>
            <w:bookmarkStart w:id="145" w:name="_Toc524703413"/>
            <w:bookmarkEnd w:id="145"/>
            <w:bookmarkStart w:id="146" w:name="_Toc519235308"/>
            <w:bookmarkEnd w:id="146"/>
            <w:bookmarkStart w:id="147" w:name="_Toc519179440"/>
            <w:bookmarkEnd w:id="147"/>
            <w:bookmarkStart w:id="148" w:name="_Toc531881917"/>
            <w:bookmarkEnd w:id="148"/>
            <w:bookmarkStart w:id="149" w:name="_Toc524703346"/>
            <w:bookmarkEnd w:id="149"/>
            <w:bookmarkStart w:id="150" w:name="_Toc518567425"/>
            <w:bookmarkEnd w:id="150"/>
            <w:bookmarkStart w:id="151" w:name="_Toc519235242"/>
            <w:bookmarkEnd w:id="151"/>
            <w:bookmarkStart w:id="152" w:name="_Toc531879842"/>
            <w:bookmarkEnd w:id="152"/>
            <w:bookmarkStart w:id="153" w:name="_Toc2957"/>
            <w:bookmarkStart w:id="154" w:name="_Toc508447110"/>
            <w:bookmarkStart w:id="155" w:name="_Toc1347"/>
            <w:r>
              <w:rPr>
                <w:rFonts w:hint="eastAsia"/>
              </w:rPr>
              <w:t>污染物达标排放及环境保护设施运行效率监测内容</w:t>
            </w:r>
            <w:bookmarkEnd w:id="153"/>
            <w:bookmarkEnd w:id="154"/>
            <w:bookmarkEnd w:id="155"/>
          </w:p>
          <w:p>
            <w:pPr>
              <w:pStyle w:val="6"/>
            </w:pPr>
            <w:bookmarkStart w:id="156" w:name="_Toc508447111"/>
            <w:bookmarkStart w:id="157" w:name="_Toc246"/>
            <w:bookmarkStart w:id="158" w:name="_Toc14177045"/>
            <w:bookmarkStart w:id="159" w:name="_Toc25164"/>
            <w:bookmarkStart w:id="160" w:name="_Toc29489"/>
            <w:bookmarkStart w:id="161" w:name="_Toc11663955"/>
            <w:bookmarkStart w:id="162" w:name="_Toc14174211"/>
            <w:bookmarkStart w:id="163" w:name="_Toc18221"/>
            <w:bookmarkStart w:id="164" w:name="_Toc10193"/>
            <w:bookmarkStart w:id="165" w:name="_Toc17138"/>
            <w:r>
              <w:rPr>
                <w:rFonts w:hint="eastAsia"/>
              </w:rPr>
              <w:t>废气</w:t>
            </w:r>
            <w:bookmarkEnd w:id="156"/>
            <w:bookmarkEnd w:id="157"/>
            <w:bookmarkEnd w:id="158"/>
            <w:bookmarkEnd w:id="159"/>
            <w:bookmarkEnd w:id="160"/>
            <w:bookmarkEnd w:id="161"/>
            <w:bookmarkEnd w:id="162"/>
            <w:bookmarkEnd w:id="163"/>
            <w:bookmarkEnd w:id="164"/>
            <w:bookmarkEnd w:id="165"/>
          </w:p>
          <w:p>
            <w:pPr>
              <w:pStyle w:val="6"/>
              <w:ind w:firstLine="480" w:firstLineChars="200"/>
              <w:rPr>
                <w:rFonts w:ascii="Times New Roman" w:hAnsi="Times New Roman"/>
                <w:b w:val="0"/>
              </w:rPr>
            </w:pPr>
            <w:bookmarkStart w:id="166" w:name="_Toc3192"/>
            <w:bookmarkStart w:id="167" w:name="_Toc21179"/>
            <w:bookmarkStart w:id="168" w:name="_Toc14683711"/>
            <w:bookmarkStart w:id="169" w:name="_Toc28906"/>
            <w:bookmarkStart w:id="170" w:name="_Toc31872"/>
            <w:bookmarkStart w:id="171" w:name="_Toc31491"/>
            <w:bookmarkStart w:id="172" w:name="_Toc16183"/>
            <w:bookmarkStart w:id="173" w:name="_Toc6478"/>
            <w:bookmarkStart w:id="174" w:name="_Toc11663957"/>
            <w:bookmarkStart w:id="175" w:name="_Toc14177046"/>
            <w:bookmarkStart w:id="176" w:name="_Toc14174212"/>
            <w:bookmarkStart w:id="177" w:name="_Toc508447113"/>
            <w:r>
              <w:rPr>
                <w:rFonts w:hint="eastAsia" w:ascii="Times New Roman" w:hAnsi="Times New Roman"/>
                <w:b w:val="0"/>
                <w:lang w:val="en-US" w:eastAsia="zh-CN"/>
              </w:rPr>
              <w:t>废气</w:t>
            </w:r>
            <w:r>
              <w:rPr>
                <w:rFonts w:ascii="Times New Roman" w:hAnsi="Times New Roman"/>
                <w:b w:val="0"/>
              </w:rPr>
              <w:t>排放监测内容具体见表6.1-</w:t>
            </w:r>
            <w:r>
              <w:rPr>
                <w:rFonts w:hint="eastAsia" w:ascii="Times New Roman" w:hAnsi="Times New Roman"/>
                <w:b w:val="0"/>
              </w:rPr>
              <w:t>1</w:t>
            </w:r>
            <w:r>
              <w:rPr>
                <w:rFonts w:ascii="Times New Roman" w:hAnsi="Times New Roman"/>
                <w:b w:val="0"/>
              </w:rPr>
              <w:t>。</w:t>
            </w:r>
            <w:bookmarkEnd w:id="166"/>
            <w:bookmarkEnd w:id="167"/>
            <w:bookmarkEnd w:id="168"/>
            <w:bookmarkEnd w:id="169"/>
            <w:bookmarkEnd w:id="170"/>
            <w:bookmarkEnd w:id="171"/>
            <w:bookmarkEnd w:id="172"/>
            <w:bookmarkEnd w:id="173"/>
          </w:p>
          <w:p>
            <w:pPr>
              <w:pStyle w:val="4"/>
              <w:ind w:firstLine="0" w:firstLineChars="0"/>
              <w:jc w:val="center"/>
              <w:rPr>
                <w:b/>
              </w:rPr>
            </w:pPr>
            <w:r>
              <w:rPr>
                <w:rFonts w:hint="eastAsia"/>
                <w:b/>
              </w:rPr>
              <w:t xml:space="preserve">表6.1-1 </w:t>
            </w:r>
            <w:r>
              <w:rPr>
                <w:rFonts w:hint="eastAsia"/>
                <w:b/>
                <w:lang w:eastAsia="zh-CN"/>
              </w:rPr>
              <w:t>印花</w:t>
            </w:r>
            <w:r>
              <w:rPr>
                <w:rFonts w:hint="eastAsia"/>
                <w:b/>
              </w:rPr>
              <w:t>废气排放监测内容</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865"/>
              <w:gridCol w:w="2464"/>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03" w:type="pct"/>
                  <w:vAlign w:val="center"/>
                </w:tcPr>
                <w:p>
                  <w:pPr>
                    <w:spacing w:line="360" w:lineRule="auto"/>
                    <w:jc w:val="center"/>
                    <w:rPr>
                      <w:szCs w:val="21"/>
                    </w:rPr>
                  </w:pPr>
                  <w:r>
                    <w:rPr>
                      <w:szCs w:val="21"/>
                    </w:rPr>
                    <w:t>监测对象</w:t>
                  </w:r>
                </w:p>
              </w:tc>
              <w:tc>
                <w:tcPr>
                  <w:tcW w:w="1645" w:type="pct"/>
                  <w:vAlign w:val="center"/>
                </w:tcPr>
                <w:p>
                  <w:pPr>
                    <w:spacing w:line="360" w:lineRule="auto"/>
                    <w:jc w:val="center"/>
                    <w:rPr>
                      <w:szCs w:val="21"/>
                    </w:rPr>
                  </w:pPr>
                  <w:r>
                    <w:rPr>
                      <w:szCs w:val="21"/>
                    </w:rPr>
                    <w:t>污染物名称</w:t>
                  </w:r>
                </w:p>
              </w:tc>
              <w:tc>
                <w:tcPr>
                  <w:tcW w:w="1415" w:type="pct"/>
                  <w:vAlign w:val="center"/>
                </w:tcPr>
                <w:p>
                  <w:pPr>
                    <w:spacing w:line="360" w:lineRule="auto"/>
                    <w:jc w:val="center"/>
                    <w:rPr>
                      <w:szCs w:val="21"/>
                    </w:rPr>
                  </w:pPr>
                  <w:r>
                    <w:rPr>
                      <w:szCs w:val="21"/>
                    </w:rPr>
                    <w:t>监测点位</w:t>
                  </w:r>
                </w:p>
              </w:tc>
              <w:tc>
                <w:tcPr>
                  <w:tcW w:w="938" w:type="pct"/>
                  <w:vAlign w:val="center"/>
                </w:tcPr>
                <w:p>
                  <w:pPr>
                    <w:spacing w:line="360" w:lineRule="auto"/>
                    <w:jc w:val="center"/>
                    <w:rPr>
                      <w:szCs w:val="21"/>
                    </w:rPr>
                  </w:pPr>
                  <w:r>
                    <w:rPr>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003" w:type="pct"/>
                  <w:vAlign w:val="center"/>
                </w:tcPr>
                <w:p>
                  <w:pPr>
                    <w:spacing w:line="360" w:lineRule="auto"/>
                    <w:jc w:val="center"/>
                    <w:rPr>
                      <w:szCs w:val="21"/>
                    </w:rPr>
                  </w:pPr>
                  <w:r>
                    <w:rPr>
                      <w:rFonts w:hint="eastAsia"/>
                      <w:szCs w:val="21"/>
                      <w:lang w:val="en-US" w:eastAsia="zh-CN"/>
                    </w:rPr>
                    <w:t>有</w:t>
                  </w:r>
                  <w:r>
                    <w:rPr>
                      <w:szCs w:val="21"/>
                    </w:rPr>
                    <w:t>组织</w:t>
                  </w:r>
                  <w:r>
                    <w:rPr>
                      <w:rFonts w:hint="eastAsia"/>
                      <w:szCs w:val="21"/>
                    </w:rPr>
                    <w:t>废气</w:t>
                  </w:r>
                </w:p>
              </w:tc>
              <w:tc>
                <w:tcPr>
                  <w:tcW w:w="1645" w:type="pct"/>
                  <w:vAlign w:val="center"/>
                </w:tcPr>
                <w:p>
                  <w:pPr>
                    <w:pStyle w:val="47"/>
                    <w:jc w:val="center"/>
                    <w:rPr>
                      <w:rFonts w:hint="default"/>
                      <w:lang w:val="en-US" w:eastAsia="zh-CN"/>
                    </w:rPr>
                  </w:pPr>
                  <w:r>
                    <w:rPr>
                      <w:rFonts w:hint="eastAsia"/>
                      <w:lang w:val="en-US" w:eastAsia="zh-CN"/>
                    </w:rPr>
                    <w:t>非甲烷总烃</w:t>
                  </w:r>
                </w:p>
              </w:tc>
              <w:tc>
                <w:tcPr>
                  <w:tcW w:w="1415" w:type="pct"/>
                  <w:vAlign w:val="center"/>
                </w:tcPr>
                <w:p>
                  <w:pPr>
                    <w:spacing w:line="360" w:lineRule="auto"/>
                    <w:jc w:val="center"/>
                    <w:rPr>
                      <w:szCs w:val="21"/>
                    </w:rPr>
                  </w:pPr>
                  <w:r>
                    <w:rPr>
                      <w:rFonts w:hint="eastAsia"/>
                      <w:color w:val="auto"/>
                      <w:szCs w:val="21"/>
                      <w:lang w:val="en-US" w:eastAsia="zh-CN"/>
                    </w:rPr>
                    <w:t>出口1</w:t>
                  </w:r>
                  <w:r>
                    <w:rPr>
                      <w:rFonts w:hint="eastAsia"/>
                      <w:color w:val="auto"/>
                      <w:szCs w:val="21"/>
                    </w:rPr>
                    <w:t>个</w:t>
                  </w:r>
                </w:p>
              </w:tc>
              <w:tc>
                <w:tcPr>
                  <w:tcW w:w="938" w:type="pct"/>
                  <w:vAlign w:val="center"/>
                </w:tcPr>
                <w:p>
                  <w:pPr>
                    <w:spacing w:line="360" w:lineRule="auto"/>
                    <w:jc w:val="center"/>
                    <w:rPr>
                      <w:szCs w:val="21"/>
                    </w:rPr>
                  </w:pPr>
                  <w:r>
                    <w:rPr>
                      <w:szCs w:val="21"/>
                    </w:rPr>
                    <w:t>3次/天，共2天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003" w:type="pct"/>
                  <w:vAlign w:val="center"/>
                </w:tcPr>
                <w:p>
                  <w:pPr>
                    <w:spacing w:line="360" w:lineRule="auto"/>
                    <w:jc w:val="center"/>
                    <w:rPr>
                      <w:rFonts w:hint="eastAsia"/>
                      <w:szCs w:val="21"/>
                      <w:lang w:val="en-US" w:eastAsia="zh-CN"/>
                    </w:rPr>
                  </w:pPr>
                  <w:bookmarkStart w:id="178" w:name="_Toc27616"/>
                  <w:bookmarkStart w:id="179" w:name="_Toc3549"/>
                  <w:bookmarkStart w:id="180" w:name="_Toc12034"/>
                  <w:bookmarkStart w:id="181" w:name="_Toc28285"/>
                  <w:r>
                    <w:rPr>
                      <w:rFonts w:hint="eastAsia"/>
                      <w:szCs w:val="21"/>
                      <w:lang w:val="en-US" w:eastAsia="zh-CN"/>
                    </w:rPr>
                    <w:t>无组织废气</w:t>
                  </w:r>
                </w:p>
              </w:tc>
              <w:tc>
                <w:tcPr>
                  <w:tcW w:w="1645" w:type="pct"/>
                  <w:vAlign w:val="center"/>
                </w:tcPr>
                <w:p>
                  <w:pPr>
                    <w:pStyle w:val="47"/>
                    <w:jc w:val="center"/>
                    <w:rPr>
                      <w:rFonts w:hint="eastAsia"/>
                      <w:lang w:val="en-US" w:eastAsia="zh-CN"/>
                    </w:rPr>
                  </w:pPr>
                  <w:r>
                    <w:rPr>
                      <w:rFonts w:hint="eastAsia"/>
                      <w:lang w:val="en-US" w:eastAsia="zh-CN"/>
                    </w:rPr>
                    <w:t>非甲烷总烃</w:t>
                  </w:r>
                </w:p>
              </w:tc>
              <w:tc>
                <w:tcPr>
                  <w:tcW w:w="1415" w:type="pct"/>
                  <w:vAlign w:val="center"/>
                </w:tcPr>
                <w:p>
                  <w:pPr>
                    <w:pStyle w:val="47"/>
                    <w:jc w:val="center"/>
                    <w:rPr>
                      <w:rFonts w:hint="default"/>
                      <w:lang w:val="en-US" w:eastAsia="zh-CN"/>
                    </w:rPr>
                  </w:pPr>
                  <w:r>
                    <w:rPr>
                      <w:rFonts w:hint="eastAsia"/>
                      <w:lang w:val="en-US" w:eastAsia="zh-CN"/>
                    </w:rPr>
                    <w:t>厂界（东、南、西、北）</w:t>
                  </w:r>
                </w:p>
              </w:tc>
              <w:tc>
                <w:tcPr>
                  <w:tcW w:w="938" w:type="pct"/>
                  <w:vAlign w:val="center"/>
                </w:tcPr>
                <w:p>
                  <w:pPr>
                    <w:spacing w:line="360" w:lineRule="auto"/>
                    <w:jc w:val="center"/>
                    <w:rPr>
                      <w:szCs w:val="21"/>
                    </w:rPr>
                  </w:pPr>
                  <w:r>
                    <w:rPr>
                      <w:rFonts w:hint="eastAsia"/>
                      <w:szCs w:val="21"/>
                      <w:lang w:val="en-US" w:eastAsia="zh-CN"/>
                    </w:rPr>
                    <w:t>1</w:t>
                  </w:r>
                  <w:r>
                    <w:rPr>
                      <w:szCs w:val="21"/>
                    </w:rPr>
                    <w:t>次/天，共2天</w:t>
                  </w:r>
                </w:p>
              </w:tc>
            </w:tr>
          </w:tbl>
          <w:p>
            <w:pPr>
              <w:pStyle w:val="6"/>
            </w:pPr>
            <w:bookmarkStart w:id="182" w:name="_Toc30728"/>
            <w:bookmarkStart w:id="183" w:name="_Toc20128"/>
            <w:r>
              <w:rPr>
                <w:rFonts w:hint="eastAsia"/>
              </w:rPr>
              <w:t>噪声</w:t>
            </w:r>
            <w:bookmarkEnd w:id="174"/>
            <w:bookmarkEnd w:id="175"/>
            <w:bookmarkEnd w:id="176"/>
            <w:bookmarkEnd w:id="177"/>
            <w:bookmarkEnd w:id="178"/>
            <w:bookmarkEnd w:id="179"/>
            <w:bookmarkEnd w:id="180"/>
            <w:bookmarkEnd w:id="181"/>
            <w:bookmarkEnd w:id="182"/>
            <w:bookmarkEnd w:id="183"/>
          </w:p>
          <w:p>
            <w:pPr>
              <w:pStyle w:val="86"/>
              <w:spacing w:line="360" w:lineRule="auto"/>
            </w:pPr>
            <w:r>
              <w:rPr>
                <w:rFonts w:hint="eastAsia"/>
              </w:rPr>
              <w:t>厂界噪声监测内容具体见表6.1-</w:t>
            </w:r>
            <w:r>
              <w:rPr>
                <w:rFonts w:hint="eastAsia"/>
                <w:lang w:val="en-US"/>
              </w:rPr>
              <w:t>2</w:t>
            </w:r>
            <w:r>
              <w:rPr>
                <w:rFonts w:hint="eastAsia"/>
              </w:rPr>
              <w:t>。</w:t>
            </w:r>
          </w:p>
          <w:p>
            <w:pPr>
              <w:pStyle w:val="15"/>
              <w:spacing w:line="360" w:lineRule="auto"/>
            </w:pPr>
            <w:r>
              <w:rPr>
                <w:rFonts w:hint="eastAsia" w:ascii="Times New Roman" w:hAnsi="Times New Roman" w:cs="Times New Roman" w:eastAsiaTheme="majorEastAsia"/>
                <w:b/>
                <w:bCs/>
                <w:color w:val="000000"/>
                <w:kern w:val="0"/>
                <w:sz w:val="24"/>
                <w:szCs w:val="24"/>
                <w:lang w:val="en-US" w:eastAsia="zh-CN" w:bidi="ar-SA"/>
              </w:rPr>
              <w:t>表 6.1-2  厂界噪声排放监测内容一览表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554"/>
              <w:gridCol w:w="1400"/>
              <w:gridCol w:w="3114"/>
              <w:gridCol w:w="1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vAlign w:val="center"/>
                </w:tcPr>
                <w:p>
                  <w:pPr>
                    <w:pStyle w:val="59"/>
                  </w:pPr>
                  <w:r>
                    <w:rPr>
                      <w:rFonts w:hint="eastAsia"/>
                    </w:rPr>
                    <w:t>序号</w:t>
                  </w:r>
                </w:p>
              </w:tc>
              <w:tc>
                <w:tcPr>
                  <w:tcW w:w="892" w:type="pct"/>
                  <w:shd w:val="clear" w:color="auto" w:fill="auto"/>
                  <w:vAlign w:val="center"/>
                </w:tcPr>
                <w:p>
                  <w:pPr>
                    <w:pStyle w:val="59"/>
                  </w:pPr>
                  <w:r>
                    <w:rPr>
                      <w:rFonts w:hint="eastAsia"/>
                    </w:rPr>
                    <w:t>监测点位</w:t>
                  </w:r>
                </w:p>
              </w:tc>
              <w:tc>
                <w:tcPr>
                  <w:tcW w:w="804" w:type="pct"/>
                  <w:shd w:val="clear" w:color="auto" w:fill="auto"/>
                  <w:vAlign w:val="center"/>
                </w:tcPr>
                <w:p>
                  <w:pPr>
                    <w:pStyle w:val="59"/>
                  </w:pPr>
                  <w:r>
                    <w:rPr>
                      <w:rFonts w:hint="eastAsia"/>
                    </w:rPr>
                    <w:t>监测项目</w:t>
                  </w:r>
                </w:p>
              </w:tc>
              <w:tc>
                <w:tcPr>
                  <w:tcW w:w="1788" w:type="pct"/>
                  <w:shd w:val="clear" w:color="auto" w:fill="auto"/>
                  <w:vAlign w:val="center"/>
                </w:tcPr>
                <w:p>
                  <w:pPr>
                    <w:pStyle w:val="59"/>
                  </w:pPr>
                  <w:r>
                    <w:rPr>
                      <w:rFonts w:hint="eastAsia"/>
                    </w:rPr>
                    <w:t>监测天数和频次</w:t>
                  </w:r>
                </w:p>
              </w:tc>
              <w:tc>
                <w:tcPr>
                  <w:tcW w:w="1006" w:type="pct"/>
                  <w:vAlign w:val="center"/>
                </w:tcPr>
                <w:p>
                  <w:pPr>
                    <w:pStyle w:val="59"/>
                  </w:pPr>
                  <w:r>
                    <w:rPr>
                      <w:rFonts w:hint="eastAsi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vAlign w:val="center"/>
                </w:tcPr>
                <w:p>
                  <w:pPr>
                    <w:pStyle w:val="59"/>
                  </w:pPr>
                  <w:r>
                    <w:rPr>
                      <w:rFonts w:hint="eastAsia"/>
                    </w:rPr>
                    <w:t>1</w:t>
                  </w:r>
                </w:p>
              </w:tc>
              <w:tc>
                <w:tcPr>
                  <w:tcW w:w="892" w:type="pct"/>
                  <w:shd w:val="clear" w:color="auto" w:fill="auto"/>
                  <w:vAlign w:val="center"/>
                </w:tcPr>
                <w:p>
                  <w:pPr>
                    <w:pStyle w:val="59"/>
                  </w:pPr>
                  <w:r>
                    <w:rPr>
                      <w:rFonts w:hint="eastAsia"/>
                    </w:rPr>
                    <w:t>厂界四周</w:t>
                  </w:r>
                </w:p>
              </w:tc>
              <w:tc>
                <w:tcPr>
                  <w:tcW w:w="804" w:type="pct"/>
                  <w:shd w:val="clear" w:color="auto" w:fill="auto"/>
                  <w:vAlign w:val="center"/>
                </w:tcPr>
                <w:p>
                  <w:pPr>
                    <w:pStyle w:val="59"/>
                  </w:pPr>
                  <w:r>
                    <w:rPr>
                      <w:rFonts w:hint="eastAsia"/>
                    </w:rPr>
                    <w:t>L</w:t>
                  </w:r>
                  <w:r>
                    <w:rPr>
                      <w:rFonts w:hint="eastAsia"/>
                      <w:vertAlign w:val="subscript"/>
                    </w:rPr>
                    <w:t>Aeq</w:t>
                  </w:r>
                </w:p>
              </w:tc>
              <w:tc>
                <w:tcPr>
                  <w:tcW w:w="1788" w:type="pct"/>
                  <w:shd w:val="clear" w:color="auto" w:fill="auto"/>
                  <w:vAlign w:val="center"/>
                </w:tcPr>
                <w:p>
                  <w:pPr>
                    <w:pStyle w:val="59"/>
                  </w:pPr>
                  <w:r>
                    <w:rPr>
                      <w:rFonts w:hint="eastAsia"/>
                    </w:rPr>
                    <w:t>2天，每天昼间、夜间各测1次</w:t>
                  </w:r>
                </w:p>
              </w:tc>
              <w:tc>
                <w:tcPr>
                  <w:tcW w:w="1006" w:type="pct"/>
                  <w:vAlign w:val="center"/>
                </w:tcPr>
                <w:p>
                  <w:pPr>
                    <w:pStyle w:val="59"/>
                  </w:pPr>
                  <w:r>
                    <w:rPr>
                      <w:rFonts w:hint="eastAsia"/>
                    </w:rPr>
                    <w:t>/</w:t>
                  </w:r>
                </w:p>
              </w:tc>
            </w:tr>
          </w:tbl>
          <w:p>
            <w:pPr>
              <w:spacing w:before="48" w:beforeLines="20" w:line="360" w:lineRule="auto"/>
              <w:rPr>
                <w:rFonts w:eastAsia="仿宋_GB2312"/>
                <w:szCs w:val="21"/>
              </w:rPr>
            </w:pPr>
          </w:p>
          <w:p>
            <w:pPr>
              <w:spacing w:before="48" w:beforeLines="20" w:line="360" w:lineRule="auto"/>
              <w:rPr>
                <w:rFonts w:eastAsia="仿宋_GB2312"/>
                <w:color w:val="000000"/>
                <w:szCs w:val="21"/>
              </w:rPr>
            </w:pPr>
          </w:p>
        </w:tc>
      </w:tr>
    </w:tbl>
    <w:p>
      <w:pPr>
        <w:pStyle w:val="3"/>
      </w:pPr>
      <w:bookmarkStart w:id="184" w:name="_Toc18371"/>
      <w:bookmarkStart w:id="185" w:name="_Toc10215"/>
      <w:r>
        <w:rPr>
          <w:rFonts w:hint="eastAsia"/>
        </w:rPr>
        <w:t>验收监测期间生产工况记录：</w:t>
      </w:r>
      <w:bookmarkEnd w:id="184"/>
      <w:bookmarkEnd w:id="185"/>
    </w:p>
    <w:tbl>
      <w:tblPr>
        <w:tblStyle w:val="37"/>
        <w:tblW w:w="9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9182" w:type="dxa"/>
          </w:tcPr>
          <w:p>
            <w:pPr>
              <w:pStyle w:val="5"/>
            </w:pPr>
            <w:bookmarkStart w:id="186" w:name="_Toc531881923"/>
            <w:bookmarkEnd w:id="186"/>
            <w:bookmarkStart w:id="187" w:name="_Toc519235313"/>
            <w:bookmarkEnd w:id="187"/>
            <w:bookmarkStart w:id="188" w:name="_Toc531879848"/>
            <w:bookmarkEnd w:id="188"/>
            <w:bookmarkStart w:id="189" w:name="_Toc519235247"/>
            <w:bookmarkEnd w:id="189"/>
            <w:bookmarkStart w:id="190" w:name="_Toc519179445"/>
            <w:bookmarkEnd w:id="190"/>
            <w:bookmarkStart w:id="191" w:name="_Toc518567431"/>
            <w:bookmarkEnd w:id="191"/>
            <w:bookmarkStart w:id="192" w:name="_Toc524703419"/>
            <w:bookmarkEnd w:id="192"/>
            <w:bookmarkStart w:id="193" w:name="_Toc529265112"/>
            <w:bookmarkEnd w:id="193"/>
            <w:bookmarkStart w:id="194" w:name="_Toc524703352"/>
            <w:bookmarkEnd w:id="194"/>
            <w:bookmarkStart w:id="195" w:name="_Toc1559"/>
            <w:bookmarkStart w:id="196" w:name="_Toc2311"/>
            <w:r>
              <w:rPr>
                <w:rFonts w:hint="eastAsia"/>
              </w:rPr>
              <w:t>验收工况</w:t>
            </w:r>
            <w:bookmarkEnd w:id="195"/>
            <w:bookmarkEnd w:id="196"/>
          </w:p>
          <w:p>
            <w:pPr>
              <w:pStyle w:val="4"/>
              <w:rPr>
                <w:rFonts w:hint="default" w:eastAsiaTheme="majorEastAsia"/>
                <w:lang w:val="en-US" w:eastAsia="zh-CN"/>
              </w:rPr>
            </w:pPr>
            <w:r>
              <w:rPr>
                <w:rFonts w:hint="eastAsia"/>
              </w:rPr>
              <w:t>验收监测期间，企业记录了生产工况，具体见表7.1-1。</w:t>
            </w:r>
          </w:p>
          <w:p>
            <w:pPr>
              <w:pStyle w:val="4"/>
              <w:ind w:firstLine="0" w:firstLineChars="0"/>
              <w:jc w:val="center"/>
              <w:rPr>
                <w:rFonts w:hint="eastAsia"/>
                <w:b/>
              </w:rPr>
            </w:pPr>
            <w:r>
              <w:rPr>
                <w:rFonts w:hint="eastAsia"/>
                <w:b/>
              </w:rPr>
              <w:t>表7.1-1 验收监测期间</w:t>
            </w:r>
            <w:r>
              <w:rPr>
                <w:rFonts w:hint="eastAsia"/>
                <w:b/>
                <w:lang w:val="en-US" w:eastAsia="zh-CN"/>
              </w:rPr>
              <w:t>压铸件生产</w:t>
            </w:r>
            <w:r>
              <w:rPr>
                <w:rFonts w:hint="eastAsia"/>
                <w:b/>
                <w:lang w:eastAsia="zh-CN"/>
              </w:rPr>
              <w:t>建设项目</w:t>
            </w:r>
            <w:r>
              <w:rPr>
                <w:rFonts w:hint="eastAsia"/>
                <w:b/>
              </w:rPr>
              <w:t>生产工况统计表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480"/>
              <w:gridCol w:w="1652"/>
              <w:gridCol w:w="1290"/>
              <w:gridCol w:w="1688"/>
              <w:gridCol w:w="11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5" w:type="pct"/>
                  <w:vMerge w:val="restart"/>
                  <w:tcBorders>
                    <w:top w:val="single" w:color="auto" w:sz="12" w:space="0"/>
                    <w:bottom w:val="single" w:color="auto" w:sz="4" w:space="0"/>
                  </w:tcBorders>
                  <w:shd w:val="clear" w:color="auto" w:fill="auto"/>
                  <w:vAlign w:val="center"/>
                </w:tcPr>
                <w:p>
                  <w:pPr>
                    <w:jc w:val="center"/>
                    <w:rPr>
                      <w:color w:val="000000"/>
                      <w:szCs w:val="21"/>
                      <w:highlight w:val="none"/>
                    </w:rPr>
                  </w:pPr>
                  <w:r>
                    <w:rPr>
                      <w:color w:val="000000"/>
                      <w:szCs w:val="21"/>
                      <w:highlight w:val="none"/>
                    </w:rPr>
                    <w:t>主要产品名称</w:t>
                  </w:r>
                </w:p>
              </w:tc>
              <w:tc>
                <w:tcPr>
                  <w:tcW w:w="825" w:type="pct"/>
                  <w:vMerge w:val="restart"/>
                  <w:tcBorders>
                    <w:top w:val="single" w:color="auto" w:sz="12" w:space="0"/>
                    <w:bottom w:val="single" w:color="auto" w:sz="4" w:space="0"/>
                  </w:tcBorders>
                  <w:shd w:val="clear" w:color="auto" w:fill="auto"/>
                  <w:vAlign w:val="center"/>
                </w:tcPr>
                <w:p>
                  <w:pPr>
                    <w:jc w:val="center"/>
                    <w:rPr>
                      <w:color w:val="000000"/>
                      <w:szCs w:val="21"/>
                      <w:highlight w:val="none"/>
                    </w:rPr>
                  </w:pPr>
                  <w:r>
                    <w:rPr>
                      <w:color w:val="000000"/>
                      <w:szCs w:val="21"/>
                      <w:highlight w:val="none"/>
                    </w:rPr>
                    <w:t>批复产量</w:t>
                  </w:r>
                  <w:r>
                    <w:rPr>
                      <w:rFonts w:hint="eastAsia"/>
                      <w:color w:val="000000"/>
                      <w:szCs w:val="21"/>
                      <w:highlight w:val="none"/>
                    </w:rPr>
                    <w:t>（</w:t>
                  </w:r>
                  <w:r>
                    <w:rPr>
                      <w:rFonts w:hint="eastAsia"/>
                      <w:lang w:val="en-US" w:eastAsia="zh-CN"/>
                    </w:rPr>
                    <w:t>万片/年</w:t>
                  </w:r>
                  <w:r>
                    <w:rPr>
                      <w:rFonts w:hint="eastAsia"/>
                      <w:color w:val="000000"/>
                      <w:szCs w:val="21"/>
                      <w:highlight w:val="none"/>
                    </w:rPr>
                    <w:t>）</w:t>
                  </w:r>
                </w:p>
              </w:tc>
              <w:tc>
                <w:tcPr>
                  <w:tcW w:w="1640" w:type="pct"/>
                  <w:gridSpan w:val="2"/>
                  <w:tcBorders>
                    <w:top w:val="single" w:color="auto" w:sz="12" w:space="0"/>
                    <w:bottom w:val="single" w:color="auto" w:sz="4" w:space="0"/>
                  </w:tcBorders>
                  <w:shd w:val="clear" w:color="auto" w:fill="auto"/>
                  <w:vAlign w:val="center"/>
                </w:tcPr>
                <w:p>
                  <w:pPr>
                    <w:jc w:val="center"/>
                    <w:rPr>
                      <w:szCs w:val="21"/>
                      <w:highlight w:val="none"/>
                    </w:rPr>
                  </w:pPr>
                  <w:r>
                    <w:rPr>
                      <w:rFonts w:hint="eastAsia"/>
                      <w:szCs w:val="21"/>
                      <w:highlight w:val="none"/>
                      <w:lang w:val="en-US" w:eastAsia="zh-CN"/>
                    </w:rPr>
                    <w:t>2月17日</w:t>
                  </w:r>
                </w:p>
              </w:tc>
              <w:tc>
                <w:tcPr>
                  <w:tcW w:w="1568" w:type="pct"/>
                  <w:gridSpan w:val="2"/>
                  <w:tcBorders>
                    <w:top w:val="single" w:color="auto" w:sz="12" w:space="0"/>
                    <w:bottom w:val="single" w:color="auto" w:sz="4" w:space="0"/>
                  </w:tcBorders>
                  <w:shd w:val="clear" w:color="auto" w:fill="auto"/>
                  <w:vAlign w:val="center"/>
                </w:tcPr>
                <w:p>
                  <w:pPr>
                    <w:jc w:val="center"/>
                    <w:rPr>
                      <w:szCs w:val="21"/>
                      <w:highlight w:val="none"/>
                    </w:rPr>
                  </w:pPr>
                  <w:r>
                    <w:rPr>
                      <w:rFonts w:hint="eastAsia"/>
                      <w:szCs w:val="21"/>
                      <w:highlight w:val="none"/>
                      <w:lang w:val="en-US" w:eastAsia="zh-CN"/>
                    </w:rPr>
                    <w:t>2月18日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965" w:type="pct"/>
                  <w:vMerge w:val="continue"/>
                  <w:tcBorders>
                    <w:top w:val="single" w:color="auto" w:sz="4" w:space="0"/>
                    <w:bottom w:val="single" w:color="auto" w:sz="4" w:space="0"/>
                  </w:tcBorders>
                  <w:shd w:val="clear" w:color="auto" w:fill="auto"/>
                  <w:vAlign w:val="center"/>
                </w:tcPr>
                <w:p>
                  <w:pPr>
                    <w:jc w:val="center"/>
                    <w:rPr>
                      <w:color w:val="000000"/>
                      <w:szCs w:val="21"/>
                      <w:highlight w:val="none"/>
                    </w:rPr>
                  </w:pPr>
                </w:p>
              </w:tc>
              <w:tc>
                <w:tcPr>
                  <w:tcW w:w="825" w:type="pct"/>
                  <w:vMerge w:val="continue"/>
                  <w:tcBorders>
                    <w:top w:val="single" w:color="auto" w:sz="4" w:space="0"/>
                    <w:bottom w:val="single" w:color="auto" w:sz="4" w:space="0"/>
                  </w:tcBorders>
                  <w:shd w:val="clear" w:color="auto" w:fill="auto"/>
                  <w:vAlign w:val="center"/>
                </w:tcPr>
                <w:p>
                  <w:pPr>
                    <w:jc w:val="center"/>
                    <w:rPr>
                      <w:color w:val="000000"/>
                      <w:szCs w:val="21"/>
                      <w:highlight w:val="none"/>
                    </w:rPr>
                  </w:pPr>
                </w:p>
              </w:tc>
              <w:tc>
                <w:tcPr>
                  <w:tcW w:w="921" w:type="pct"/>
                  <w:tcBorders>
                    <w:top w:val="single" w:color="auto" w:sz="4" w:space="0"/>
                    <w:bottom w:val="single" w:color="auto" w:sz="4" w:space="0"/>
                  </w:tcBorders>
                  <w:shd w:val="clear" w:color="auto" w:fill="auto"/>
                  <w:vAlign w:val="center"/>
                </w:tcPr>
                <w:p>
                  <w:pPr>
                    <w:jc w:val="center"/>
                    <w:rPr>
                      <w:szCs w:val="21"/>
                      <w:highlight w:val="none"/>
                    </w:rPr>
                  </w:pPr>
                  <w:r>
                    <w:rPr>
                      <w:szCs w:val="21"/>
                      <w:highlight w:val="none"/>
                    </w:rPr>
                    <w:t>实际产量</w:t>
                  </w:r>
                  <w:r>
                    <w:rPr>
                      <w:rFonts w:hint="eastAsia"/>
                      <w:szCs w:val="21"/>
                      <w:highlight w:val="none"/>
                    </w:rPr>
                    <w:t>（</w:t>
                  </w:r>
                  <w:r>
                    <w:rPr>
                      <w:rFonts w:hint="eastAsia"/>
                      <w:lang w:val="en-US" w:eastAsia="zh-CN"/>
                    </w:rPr>
                    <w:t>万片/年</w:t>
                  </w:r>
                  <w:r>
                    <w:rPr>
                      <w:rFonts w:hint="eastAsia"/>
                      <w:szCs w:val="21"/>
                      <w:highlight w:val="none"/>
                    </w:rPr>
                    <w:t>）</w:t>
                  </w:r>
                </w:p>
              </w:tc>
              <w:tc>
                <w:tcPr>
                  <w:tcW w:w="718" w:type="pct"/>
                  <w:tcBorders>
                    <w:top w:val="single" w:color="auto" w:sz="4" w:space="0"/>
                    <w:bottom w:val="single" w:color="auto" w:sz="4" w:space="0"/>
                  </w:tcBorders>
                  <w:shd w:val="clear" w:color="auto" w:fill="auto"/>
                  <w:vAlign w:val="center"/>
                </w:tcPr>
                <w:p>
                  <w:pPr>
                    <w:jc w:val="center"/>
                    <w:rPr>
                      <w:szCs w:val="21"/>
                      <w:highlight w:val="none"/>
                    </w:rPr>
                  </w:pPr>
                  <w:r>
                    <w:rPr>
                      <w:szCs w:val="21"/>
                      <w:highlight w:val="none"/>
                    </w:rPr>
                    <w:t>生产负荷</w:t>
                  </w:r>
                </w:p>
              </w:tc>
              <w:tc>
                <w:tcPr>
                  <w:tcW w:w="941" w:type="pct"/>
                  <w:tcBorders>
                    <w:top w:val="single" w:color="auto" w:sz="4" w:space="0"/>
                    <w:bottom w:val="single" w:color="auto" w:sz="4" w:space="0"/>
                  </w:tcBorders>
                  <w:shd w:val="clear" w:color="auto" w:fill="auto"/>
                  <w:vAlign w:val="center"/>
                </w:tcPr>
                <w:p>
                  <w:pPr>
                    <w:jc w:val="center"/>
                    <w:rPr>
                      <w:szCs w:val="21"/>
                      <w:highlight w:val="none"/>
                    </w:rPr>
                  </w:pPr>
                  <w:r>
                    <w:rPr>
                      <w:szCs w:val="21"/>
                      <w:highlight w:val="none"/>
                    </w:rPr>
                    <w:t>实际产量</w:t>
                  </w:r>
                  <w:r>
                    <w:rPr>
                      <w:rFonts w:hint="eastAsia"/>
                      <w:szCs w:val="21"/>
                      <w:highlight w:val="none"/>
                    </w:rPr>
                    <w:t>（</w:t>
                  </w:r>
                  <w:r>
                    <w:rPr>
                      <w:rFonts w:hint="eastAsia"/>
                      <w:lang w:val="en-US" w:eastAsia="zh-CN"/>
                    </w:rPr>
                    <w:t>万片/年</w:t>
                  </w:r>
                  <w:r>
                    <w:rPr>
                      <w:rFonts w:hint="eastAsia"/>
                      <w:szCs w:val="21"/>
                      <w:highlight w:val="none"/>
                    </w:rPr>
                    <w:t>）</w:t>
                  </w:r>
                </w:p>
              </w:tc>
              <w:tc>
                <w:tcPr>
                  <w:tcW w:w="626" w:type="pct"/>
                  <w:tcBorders>
                    <w:top w:val="single" w:color="auto" w:sz="4" w:space="0"/>
                    <w:bottom w:val="single" w:color="auto" w:sz="4" w:space="0"/>
                  </w:tcBorders>
                  <w:shd w:val="clear" w:color="auto" w:fill="auto"/>
                  <w:vAlign w:val="center"/>
                </w:tcPr>
                <w:p>
                  <w:pPr>
                    <w:jc w:val="center"/>
                    <w:rPr>
                      <w:szCs w:val="21"/>
                      <w:highlight w:val="none"/>
                    </w:rPr>
                  </w:pPr>
                  <w:r>
                    <w:rPr>
                      <w:szCs w:val="21"/>
                      <w:highlight w:val="none"/>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965" w:type="pct"/>
                  <w:tcBorders>
                    <w:top w:val="single" w:color="auto" w:sz="4" w:space="0"/>
                    <w:bottom w:val="single" w:color="auto" w:sz="12" w:space="0"/>
                  </w:tcBorders>
                  <w:shd w:val="clear" w:color="auto" w:fill="auto"/>
                  <w:vAlign w:val="center"/>
                </w:tcPr>
                <w:p>
                  <w:pPr>
                    <w:ind w:left="-107" w:leftChars="-51" w:right="-113" w:rightChars="-54"/>
                    <w:jc w:val="center"/>
                    <w:rPr>
                      <w:rFonts w:hint="default" w:eastAsia="宋体"/>
                      <w:szCs w:val="21"/>
                      <w:highlight w:val="none"/>
                      <w:lang w:val="en-US" w:eastAsia="zh-CN"/>
                    </w:rPr>
                  </w:pPr>
                  <w:r>
                    <w:rPr>
                      <w:rFonts w:hint="eastAsia"/>
                      <w:color w:val="000000"/>
                      <w:highlight w:val="none"/>
                      <w:lang w:val="en-US" w:eastAsia="zh-CN"/>
                    </w:rPr>
                    <w:t>衣片印花</w:t>
                  </w:r>
                </w:p>
              </w:tc>
              <w:tc>
                <w:tcPr>
                  <w:tcW w:w="825" w:type="pct"/>
                  <w:tcBorders>
                    <w:top w:val="single" w:color="auto" w:sz="4" w:space="0"/>
                    <w:bottom w:val="single" w:color="auto" w:sz="12" w:space="0"/>
                  </w:tcBorders>
                  <w:shd w:val="clear" w:color="auto" w:fill="auto"/>
                  <w:vAlign w:val="center"/>
                </w:tcPr>
                <w:p>
                  <w:pPr>
                    <w:ind w:left="-107" w:leftChars="-51" w:right="-94" w:rightChars="-45"/>
                    <w:jc w:val="center"/>
                    <w:rPr>
                      <w:rFonts w:hint="default" w:eastAsia="宋体"/>
                      <w:szCs w:val="21"/>
                      <w:highlight w:val="none"/>
                      <w:lang w:val="en-US" w:eastAsia="zh-CN"/>
                    </w:rPr>
                  </w:pPr>
                  <w:r>
                    <w:rPr>
                      <w:rFonts w:hint="eastAsia"/>
                      <w:szCs w:val="21"/>
                      <w:highlight w:val="none"/>
                      <w:lang w:val="en-US" w:eastAsia="zh-CN"/>
                    </w:rPr>
                    <w:t>50</w:t>
                  </w:r>
                </w:p>
              </w:tc>
              <w:tc>
                <w:tcPr>
                  <w:tcW w:w="921" w:type="pct"/>
                  <w:tcBorders>
                    <w:top w:val="single" w:color="auto" w:sz="4" w:space="0"/>
                    <w:bottom w:val="single" w:color="auto" w:sz="12" w:space="0"/>
                  </w:tcBorders>
                  <w:shd w:val="clear" w:color="auto" w:fill="auto"/>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32</w:t>
                  </w:r>
                </w:p>
              </w:tc>
              <w:tc>
                <w:tcPr>
                  <w:tcW w:w="718" w:type="pct"/>
                  <w:tcBorders>
                    <w:top w:val="single" w:color="auto" w:sz="4" w:space="0"/>
                    <w:bottom w:val="single" w:color="auto" w:sz="12" w:space="0"/>
                  </w:tcBorders>
                  <w:shd w:val="clear" w:color="auto" w:fill="auto"/>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64.0%</w:t>
                  </w:r>
                </w:p>
              </w:tc>
              <w:tc>
                <w:tcPr>
                  <w:tcW w:w="941" w:type="pct"/>
                  <w:tcBorders>
                    <w:top w:val="single" w:color="auto" w:sz="4" w:space="0"/>
                    <w:bottom w:val="single" w:color="auto" w:sz="12" w:space="0"/>
                  </w:tcBorders>
                  <w:shd w:val="clear" w:color="auto" w:fill="auto"/>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35</w:t>
                  </w:r>
                </w:p>
              </w:tc>
              <w:tc>
                <w:tcPr>
                  <w:tcW w:w="626" w:type="pct"/>
                  <w:tcBorders>
                    <w:top w:val="single" w:color="auto" w:sz="4" w:space="0"/>
                    <w:bottom w:val="single" w:color="auto" w:sz="12" w:space="0"/>
                  </w:tcBorders>
                  <w:shd w:val="clear" w:color="auto" w:fill="auto"/>
                  <w:vAlign w:val="center"/>
                </w:tcPr>
                <w:p>
                  <w:pPr>
                    <w:jc w:val="center"/>
                    <w:rPr>
                      <w:color w:val="000000"/>
                      <w:szCs w:val="21"/>
                      <w:highlight w:val="none"/>
                    </w:rPr>
                  </w:pPr>
                  <w:r>
                    <w:rPr>
                      <w:rFonts w:hint="eastAsia"/>
                      <w:color w:val="000000"/>
                      <w:szCs w:val="21"/>
                      <w:highlight w:val="none"/>
                      <w:lang w:val="en-US" w:eastAsia="zh-CN"/>
                    </w:rPr>
                    <w:t>70.0%</w:t>
                  </w:r>
                </w:p>
              </w:tc>
            </w:tr>
          </w:tbl>
          <w:p>
            <w:pPr>
              <w:pStyle w:val="4"/>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9182" w:type="dxa"/>
          </w:tcPr>
          <w:p>
            <w:pPr>
              <w:pStyle w:val="5"/>
            </w:pPr>
            <w:bookmarkStart w:id="197" w:name="_Toc15702"/>
            <w:bookmarkStart w:id="198" w:name="_Toc21689"/>
            <w:r>
              <w:rPr>
                <w:rFonts w:hint="eastAsia"/>
              </w:rPr>
              <w:t>验收监测结果：</w:t>
            </w:r>
            <w:bookmarkEnd w:id="197"/>
            <w:bookmarkEnd w:id="198"/>
          </w:p>
          <w:p>
            <w:pPr>
              <w:pStyle w:val="6"/>
            </w:pPr>
            <w:bookmarkStart w:id="199" w:name="_Toc508394839"/>
            <w:bookmarkStart w:id="200" w:name="_Toc21921"/>
            <w:bookmarkStart w:id="201" w:name="_Toc18517"/>
            <w:bookmarkStart w:id="202" w:name="_Toc28537"/>
            <w:bookmarkStart w:id="203" w:name="_Toc508447123"/>
            <w:bookmarkStart w:id="204" w:name="_Toc14038"/>
            <w:bookmarkStart w:id="205" w:name="_Toc24480"/>
            <w:bookmarkStart w:id="206" w:name="_Toc12358"/>
            <w:bookmarkStart w:id="207" w:name="_Toc17055"/>
            <w:r>
              <w:rPr>
                <w:rFonts w:hint="eastAsia"/>
              </w:rPr>
              <w:t>污染物达标排放监测结果</w:t>
            </w:r>
            <w:bookmarkEnd w:id="199"/>
            <w:bookmarkEnd w:id="200"/>
            <w:bookmarkEnd w:id="201"/>
            <w:bookmarkEnd w:id="202"/>
            <w:bookmarkEnd w:id="203"/>
            <w:bookmarkEnd w:id="204"/>
            <w:bookmarkEnd w:id="205"/>
            <w:bookmarkEnd w:id="206"/>
            <w:bookmarkEnd w:id="207"/>
          </w:p>
          <w:p>
            <w:pPr>
              <w:pStyle w:val="7"/>
            </w:pPr>
            <w:r>
              <w:rPr>
                <w:rFonts w:hint="eastAsia"/>
              </w:rPr>
              <w:t>废气</w:t>
            </w:r>
          </w:p>
          <w:p>
            <w:pPr>
              <w:pStyle w:val="86"/>
              <w:spacing w:line="360" w:lineRule="auto"/>
              <w:ind w:firstLineChars="200"/>
              <w:jc w:val="both"/>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有</w:t>
            </w:r>
            <w:r>
              <w:rPr>
                <w:color w:val="000000" w:themeColor="text1"/>
                <w14:textFill>
                  <w14:solidFill>
                    <w14:schemeClr w14:val="tx1"/>
                  </w14:solidFill>
                </w14:textFill>
              </w:rPr>
              <w:t>组织废气检测情况具体见表7.2-</w:t>
            </w:r>
            <w:r>
              <w:rPr>
                <w:rFonts w:hint="eastAsia"/>
                <w:color w:val="000000" w:themeColor="text1"/>
                <w:lang w:val="en-US"/>
                <w14:textFill>
                  <w14:solidFill>
                    <w14:schemeClr w14:val="tx1"/>
                  </w14:solidFill>
                </w14:textFill>
              </w:rPr>
              <w:t>1</w:t>
            </w:r>
            <w:r>
              <w:rPr>
                <w:color w:val="000000" w:themeColor="text1"/>
                <w14:textFill>
                  <w14:solidFill>
                    <w14:schemeClr w14:val="tx1"/>
                  </w14:solidFill>
                </w14:textFill>
              </w:rPr>
              <w:t>。</w:t>
            </w:r>
          </w:p>
          <w:p>
            <w:pPr>
              <w:pStyle w:val="86"/>
              <w:spacing w:line="360" w:lineRule="auto"/>
              <w:ind w:firstLine="2409" w:firstLineChars="1000"/>
              <w:rPr>
                <w:b/>
              </w:rPr>
            </w:pPr>
            <w:r>
              <w:rPr>
                <w:rFonts w:hint="eastAsia"/>
                <w:b/>
              </w:rPr>
              <w:t>表 7.2-</w:t>
            </w:r>
            <w:r>
              <w:rPr>
                <w:rFonts w:hint="eastAsia"/>
                <w:b/>
                <w:lang w:val="en-US"/>
              </w:rPr>
              <w:t>1</w:t>
            </w:r>
            <w:r>
              <w:rPr>
                <w:rFonts w:hint="eastAsia"/>
                <w:b/>
              </w:rPr>
              <w:t xml:space="preserve"> </w:t>
            </w:r>
            <w:r>
              <w:rPr>
                <w:rFonts w:hint="eastAsia"/>
                <w:b/>
                <w:lang w:val="en-US" w:eastAsia="zh-CN"/>
              </w:rPr>
              <w:t>有</w:t>
            </w:r>
            <w:r>
              <w:rPr>
                <w:rFonts w:hint="eastAsia"/>
                <w:b/>
              </w:rPr>
              <w:t>组织工业废气监测结果一览表</w:t>
            </w:r>
          </w:p>
          <w:tbl>
            <w:tblPr>
              <w:tblStyle w:val="37"/>
              <w:tblpPr w:leftFromText="180" w:rightFromText="180" w:vertAnchor="text" w:horzAnchor="page" w:tblpX="110" w:tblpY="437"/>
              <w:tblOverlap w:val="never"/>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6"/>
              <w:gridCol w:w="1529"/>
              <w:gridCol w:w="1205"/>
              <w:gridCol w:w="1511"/>
              <w:gridCol w:w="829"/>
              <w:gridCol w:w="797"/>
              <w:gridCol w:w="807"/>
              <w:gridCol w:w="917"/>
              <w:gridCol w:w="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289" w:type="pct"/>
                  <w:vMerge w:val="restart"/>
                  <w:noWrap w:val="0"/>
                  <w:vAlign w:val="center"/>
                </w:tcPr>
                <w:p>
                  <w:pPr>
                    <w:pStyle w:val="104"/>
                    <w:ind w:left="-105" w:leftChars="-50" w:right="-105" w:rightChars="-50"/>
                    <w:jc w:val="center"/>
                    <w:rPr>
                      <w:rFonts w:ascii="Times New Roman" w:hAnsi="Times New Roman"/>
                      <w:sz w:val="21"/>
                      <w:szCs w:val="21"/>
                    </w:rPr>
                  </w:pPr>
                  <w:r>
                    <w:rPr>
                      <w:rFonts w:ascii="Times New Roman" w:hAnsi="Times New Roman"/>
                      <w:sz w:val="21"/>
                      <w:szCs w:val="21"/>
                    </w:rPr>
                    <w:t>序号</w:t>
                  </w:r>
                </w:p>
              </w:tc>
              <w:tc>
                <w:tcPr>
                  <w:tcW w:w="854" w:type="pct"/>
                  <w:vMerge w:val="restart"/>
                  <w:noWrap w:val="0"/>
                  <w:vAlign w:val="center"/>
                </w:tcPr>
                <w:p>
                  <w:pPr>
                    <w:pStyle w:val="104"/>
                    <w:ind w:left="-105" w:leftChars="-50" w:right="-105" w:rightChars="-50"/>
                    <w:jc w:val="center"/>
                    <w:rPr>
                      <w:rFonts w:ascii="Times New Roman" w:hAnsi="Times New Roman"/>
                      <w:sz w:val="21"/>
                      <w:szCs w:val="21"/>
                    </w:rPr>
                  </w:pPr>
                  <w:r>
                    <w:rPr>
                      <w:rFonts w:ascii="Times New Roman" w:hAnsi="Times New Roman"/>
                      <w:sz w:val="21"/>
                      <w:szCs w:val="21"/>
                    </w:rPr>
                    <w:t>检测项目</w:t>
                  </w:r>
                </w:p>
              </w:tc>
              <w:tc>
                <w:tcPr>
                  <w:tcW w:w="673" w:type="pct"/>
                  <w:vMerge w:val="restart"/>
                  <w:noWrap w:val="0"/>
                  <w:vAlign w:val="center"/>
                </w:tcPr>
                <w:p>
                  <w:pPr>
                    <w:pStyle w:val="104"/>
                    <w:ind w:left="-105" w:leftChars="-50" w:right="-105" w:rightChars="-50"/>
                    <w:jc w:val="center"/>
                    <w:rPr>
                      <w:rFonts w:ascii="Times New Roman" w:hAnsi="Times New Roman"/>
                      <w:sz w:val="21"/>
                      <w:szCs w:val="21"/>
                    </w:rPr>
                  </w:pPr>
                  <w:r>
                    <w:rPr>
                      <w:rFonts w:ascii="Times New Roman" w:hAnsi="Times New Roman"/>
                      <w:sz w:val="21"/>
                      <w:szCs w:val="21"/>
                    </w:rPr>
                    <w:t>采样日期</w:t>
                  </w:r>
                </w:p>
              </w:tc>
              <w:tc>
                <w:tcPr>
                  <w:tcW w:w="844" w:type="pct"/>
                  <w:vMerge w:val="restart"/>
                  <w:noWrap w:val="0"/>
                  <w:vAlign w:val="center"/>
                </w:tcPr>
                <w:p>
                  <w:pPr>
                    <w:pStyle w:val="104"/>
                    <w:ind w:left="-105" w:leftChars="-50" w:right="-105" w:rightChars="-50"/>
                    <w:jc w:val="center"/>
                    <w:rPr>
                      <w:rFonts w:ascii="Times New Roman" w:hAnsi="Times New Roman"/>
                      <w:sz w:val="21"/>
                      <w:szCs w:val="21"/>
                    </w:rPr>
                  </w:pPr>
                  <w:r>
                    <w:rPr>
                      <w:rFonts w:hint="eastAsia" w:ascii="Times New Roman" w:hAnsi="Times New Roman"/>
                      <w:sz w:val="21"/>
                      <w:szCs w:val="21"/>
                    </w:rPr>
                    <w:t>采样</w:t>
                  </w:r>
                  <w:r>
                    <w:rPr>
                      <w:rFonts w:ascii="Times New Roman" w:hAnsi="Times New Roman"/>
                      <w:sz w:val="21"/>
                      <w:szCs w:val="21"/>
                    </w:rPr>
                    <w:t>点位置</w:t>
                  </w:r>
                </w:p>
              </w:tc>
              <w:tc>
                <w:tcPr>
                  <w:tcW w:w="1359" w:type="pct"/>
                  <w:gridSpan w:val="3"/>
                  <w:noWrap w:val="0"/>
                  <w:vAlign w:val="center"/>
                </w:tcPr>
                <w:p>
                  <w:pPr>
                    <w:pStyle w:val="104"/>
                    <w:ind w:left="-105" w:leftChars="-50" w:right="-105" w:rightChars="-50"/>
                    <w:jc w:val="center"/>
                    <w:rPr>
                      <w:rFonts w:hint="eastAsia" w:ascii="Times New Roman" w:hAnsi="Times New Roman" w:eastAsia="宋体"/>
                      <w:sz w:val="21"/>
                      <w:szCs w:val="21"/>
                      <w:lang w:eastAsia="zh-CN"/>
                    </w:rPr>
                  </w:pPr>
                  <w:r>
                    <w:rPr>
                      <w:rFonts w:ascii="Times New Roman" w:hAnsi="Times New Roman"/>
                      <w:sz w:val="21"/>
                      <w:szCs w:val="21"/>
                    </w:rPr>
                    <w:t>检测结果</w:t>
                  </w:r>
                  <w:r>
                    <w:rPr>
                      <w:rFonts w:hint="eastAsia" w:ascii="Times New Roman" w:hAnsi="Times New Roman"/>
                      <w:sz w:val="21"/>
                      <w:szCs w:val="21"/>
                      <w:lang w:eastAsia="zh-CN"/>
                    </w:rPr>
                    <w:t>（折算后）</w:t>
                  </w:r>
                </w:p>
              </w:tc>
              <w:tc>
                <w:tcPr>
                  <w:tcW w:w="512" w:type="pct"/>
                  <w:vMerge w:val="restar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ascii="Times New Roman" w:hAnsi="Times New Roman"/>
                      <w:sz w:val="21"/>
                      <w:szCs w:val="21"/>
                    </w:rPr>
                    <w:t>标准限值</w:t>
                  </w:r>
                </w:p>
              </w:tc>
              <w:tc>
                <w:tcPr>
                  <w:tcW w:w="468" w:type="pct"/>
                  <w:vMerge w:val="restart"/>
                  <w:noWrap w:val="0"/>
                  <w:vAlign w:val="center"/>
                </w:tcPr>
                <w:p>
                  <w:pPr>
                    <w:pStyle w:val="104"/>
                    <w:ind w:left="-105" w:leftChars="-50" w:right="-105" w:rightChars="-50"/>
                    <w:jc w:val="center"/>
                    <w:rPr>
                      <w:rFonts w:ascii="Times New Roman" w:hAnsi="Times New Roman"/>
                      <w:sz w:val="21"/>
                      <w:szCs w:val="21"/>
                    </w:rPr>
                  </w:pPr>
                  <w:r>
                    <w:rPr>
                      <w:rFonts w:ascii="Times New Roman" w:hAnsi="Times New Roman"/>
                      <w:sz w:val="21"/>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289" w:type="pct"/>
                  <w:vMerge w:val="continue"/>
                  <w:noWrap w:val="0"/>
                  <w:vAlign w:val="center"/>
                </w:tcPr>
                <w:p>
                  <w:pPr>
                    <w:pStyle w:val="104"/>
                    <w:ind w:left="-105" w:leftChars="-50" w:right="-105" w:rightChars="-50"/>
                    <w:jc w:val="center"/>
                    <w:rPr>
                      <w:rFonts w:ascii="Times New Roman" w:hAnsi="Times New Roman"/>
                      <w:sz w:val="21"/>
                      <w:szCs w:val="21"/>
                    </w:rPr>
                  </w:pPr>
                </w:p>
              </w:tc>
              <w:tc>
                <w:tcPr>
                  <w:tcW w:w="854" w:type="pct"/>
                  <w:vMerge w:val="continue"/>
                  <w:noWrap w:val="0"/>
                  <w:vAlign w:val="center"/>
                </w:tcPr>
                <w:p>
                  <w:pPr>
                    <w:pStyle w:val="104"/>
                    <w:ind w:left="-105" w:leftChars="-50" w:right="-105" w:rightChars="-50"/>
                    <w:jc w:val="center"/>
                    <w:rPr>
                      <w:rFonts w:ascii="Times New Roman" w:hAnsi="Times New Roman"/>
                      <w:sz w:val="21"/>
                      <w:szCs w:val="21"/>
                    </w:rPr>
                  </w:pPr>
                </w:p>
              </w:tc>
              <w:tc>
                <w:tcPr>
                  <w:tcW w:w="673"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463"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445"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2</w:t>
                  </w:r>
                </w:p>
              </w:tc>
              <w:tc>
                <w:tcPr>
                  <w:tcW w:w="450"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3</w:t>
                  </w:r>
                </w:p>
              </w:tc>
              <w:tc>
                <w:tcPr>
                  <w:tcW w:w="51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468" w:type="pct"/>
                  <w:vMerge w:val="continue"/>
                  <w:noWrap w:val="0"/>
                  <w:vAlign w:val="center"/>
                </w:tcPr>
                <w:p>
                  <w:pPr>
                    <w:pStyle w:val="104"/>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9" w:type="pct"/>
                  <w:vMerge w:val="restar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854"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color w:val="000000"/>
                      <w:sz w:val="21"/>
                      <w:szCs w:val="21"/>
                      <w:lang w:val="en-US" w:eastAsia="zh-CN"/>
                    </w:rPr>
                    <w:t>非甲烷总烃</w:t>
                  </w:r>
                </w:p>
              </w:tc>
              <w:tc>
                <w:tcPr>
                  <w:tcW w:w="673"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val="en-US" w:eastAsia="zh-CN"/>
                    </w:rPr>
                  </w:pPr>
                  <w:r>
                    <w:rPr>
                      <w:rFonts w:hint="eastAsia"/>
                      <w:sz w:val="21"/>
                      <w:szCs w:val="21"/>
                      <w:lang w:eastAsia="zh-CN"/>
                    </w:rPr>
                    <w:t>2022.2.17</w:t>
                  </w:r>
                </w:p>
              </w:tc>
              <w:tc>
                <w:tcPr>
                  <w:tcW w:w="844"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废气出口1</w:t>
                  </w:r>
                  <w:r>
                    <w:rPr>
                      <w:rFonts w:hint="eastAsia" w:ascii="Times New Roman" w:hAnsi="Times New Roman"/>
                      <w:sz w:val="21"/>
                      <w:szCs w:val="21"/>
                    </w:rPr>
                    <w:t>#</w:t>
                  </w:r>
                </w:p>
              </w:tc>
              <w:tc>
                <w:tcPr>
                  <w:tcW w:w="46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5.28</w:t>
                  </w:r>
                </w:p>
              </w:tc>
              <w:tc>
                <w:tcPr>
                  <w:tcW w:w="445"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5.28</w:t>
                  </w:r>
                </w:p>
              </w:tc>
              <w:tc>
                <w:tcPr>
                  <w:tcW w:w="450"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4.16</w:t>
                  </w:r>
                </w:p>
              </w:tc>
              <w:tc>
                <w:tcPr>
                  <w:tcW w:w="512" w:type="pct"/>
                  <w:vMerge w:val="restart"/>
                  <w:noWrap w:val="0"/>
                  <w:vAlign w:val="center"/>
                </w:tcPr>
                <w:p>
                  <w:pPr>
                    <w:spacing w:after="0"/>
                    <w:ind w:left="-105" w:leftChars="-50" w:right="-105" w:rightChars="-50"/>
                    <w:jc w:val="center"/>
                    <w:rPr>
                      <w:rFonts w:hint="default" w:ascii="Times New Roman" w:hAnsi="Times New Roman" w:eastAsia="宋体"/>
                      <w:sz w:val="21"/>
                      <w:szCs w:val="21"/>
                      <w:lang w:val="en-US" w:eastAsia="zh-CN"/>
                    </w:rPr>
                  </w:pPr>
                  <w:r>
                    <w:rPr>
                      <w:rFonts w:hint="eastAsia"/>
                      <w:sz w:val="21"/>
                      <w:szCs w:val="21"/>
                      <w:lang w:val="en-US" w:eastAsia="zh-CN"/>
                    </w:rPr>
                    <w:t>120</w:t>
                  </w:r>
                </w:p>
              </w:tc>
              <w:tc>
                <w:tcPr>
                  <w:tcW w:w="468" w:type="pct"/>
                  <w:noWrap w:val="0"/>
                  <w:vAlign w:val="center"/>
                </w:tcPr>
                <w:p>
                  <w:pPr>
                    <w:tabs>
                      <w:tab w:val="left" w:pos="5400"/>
                    </w:tabs>
                    <w:spacing w:after="0"/>
                    <w:ind w:left="-105" w:leftChars="-50" w:right="-105" w:rightChars="-50"/>
                    <w:jc w:val="center"/>
                    <w:rPr>
                      <w:rFonts w:ascii="Times New Roman" w:hAnsi="Times New Roman"/>
                      <w:color w:val="000000"/>
                      <w:sz w:val="21"/>
                      <w:szCs w:val="21"/>
                      <w:shd w:val="clear" w:color="auto" w:fill="FFFFFF"/>
                    </w:rPr>
                  </w:pPr>
                  <w:r>
                    <w:rPr>
                      <w:rFonts w:ascii="Times New Roman" w:hAnsi="Times New Roman"/>
                      <w:sz w:val="21"/>
                      <w:szCs w:val="21"/>
                    </w:rPr>
                    <w:t>mg/m</w:t>
                  </w:r>
                  <w:r>
                    <w:rPr>
                      <w:rFonts w:ascii="Times New Roman" w:hAnsi="Times New Roman"/>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9"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5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3"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val="en-US" w:eastAsia="zh-CN"/>
                    </w:rPr>
                  </w:pPr>
                  <w:r>
                    <w:rPr>
                      <w:rFonts w:hint="eastAsia"/>
                      <w:sz w:val="21"/>
                      <w:szCs w:val="21"/>
                      <w:lang w:eastAsia="zh-CN"/>
                    </w:rPr>
                    <w:t>2022.2.18</w:t>
                  </w:r>
                </w:p>
              </w:tc>
              <w:tc>
                <w:tcPr>
                  <w:tcW w:w="844"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废气出口1</w:t>
                  </w:r>
                  <w:r>
                    <w:rPr>
                      <w:rFonts w:hint="eastAsia" w:ascii="Times New Roman" w:hAnsi="Times New Roman"/>
                      <w:sz w:val="21"/>
                      <w:szCs w:val="21"/>
                    </w:rPr>
                    <w:t>#</w:t>
                  </w:r>
                </w:p>
              </w:tc>
              <w:tc>
                <w:tcPr>
                  <w:tcW w:w="46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7.22</w:t>
                  </w:r>
                </w:p>
              </w:tc>
              <w:tc>
                <w:tcPr>
                  <w:tcW w:w="445"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5.64</w:t>
                  </w:r>
                </w:p>
              </w:tc>
              <w:tc>
                <w:tcPr>
                  <w:tcW w:w="450"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6.46</w:t>
                  </w:r>
                </w:p>
              </w:tc>
              <w:tc>
                <w:tcPr>
                  <w:tcW w:w="512" w:type="pct"/>
                  <w:vMerge w:val="continue"/>
                  <w:noWrap w:val="0"/>
                  <w:vAlign w:val="center"/>
                </w:tcPr>
                <w:p>
                  <w:pPr>
                    <w:spacing w:after="0"/>
                    <w:ind w:left="-105" w:leftChars="-50" w:right="-105" w:rightChars="-50"/>
                    <w:jc w:val="center"/>
                    <w:rPr>
                      <w:rFonts w:ascii="Times New Roman" w:hAnsi="Times New Roman"/>
                      <w:sz w:val="21"/>
                      <w:szCs w:val="21"/>
                    </w:rPr>
                  </w:pPr>
                </w:p>
              </w:tc>
              <w:tc>
                <w:tcPr>
                  <w:tcW w:w="468" w:type="pct"/>
                  <w:noWrap w:val="0"/>
                  <w:vAlign w:val="center"/>
                </w:tcPr>
                <w:p>
                  <w:pPr>
                    <w:tabs>
                      <w:tab w:val="left" w:pos="5400"/>
                    </w:tabs>
                    <w:spacing w:after="0"/>
                    <w:ind w:left="-105" w:leftChars="-50" w:right="-105" w:rightChars="-50"/>
                    <w:jc w:val="center"/>
                    <w:rPr>
                      <w:rFonts w:ascii="Times New Roman" w:hAnsi="Times New Roman"/>
                      <w:color w:val="000000"/>
                      <w:sz w:val="21"/>
                      <w:szCs w:val="21"/>
                      <w:shd w:val="clear" w:color="auto" w:fill="FFFFFF"/>
                    </w:rPr>
                  </w:pPr>
                  <w:r>
                    <w:rPr>
                      <w:rFonts w:ascii="Times New Roman" w:hAnsi="Times New Roman"/>
                      <w:sz w:val="21"/>
                      <w:szCs w:val="21"/>
                    </w:rPr>
                    <w:t>mg/m</w:t>
                  </w:r>
                  <w:r>
                    <w:rPr>
                      <w:rFonts w:ascii="Times New Roman" w:hAnsi="Times New Roman"/>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9"/>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r>
                    <w:rPr>
                      <w:rFonts w:hint="eastAsia" w:ascii="Times New Roman" w:hAnsi="Times New Roman"/>
                      <w:color w:val="000000"/>
                      <w:sz w:val="21"/>
                      <w:szCs w:val="21"/>
                      <w:shd w:val="clear" w:color="auto" w:fill="FFFFFF"/>
                    </w:rPr>
                    <w:t>执行标准：</w:t>
                  </w:r>
                  <w:r>
                    <w:rPr>
                      <w:rFonts w:hint="eastAsia" w:ascii="Times New Roman" w:hAnsi="Times New Roman" w:eastAsia="宋体" w:cs="Times New Roman"/>
                      <w:sz w:val="21"/>
                      <w:szCs w:val="21"/>
                      <w:lang w:val="en-US" w:eastAsia="zh-CN"/>
                    </w:rPr>
                    <w:t>《大气污染物综合排放标准》（GB 16297-1996）表2二级标准。</w:t>
                  </w:r>
                </w:p>
              </w:tc>
            </w:tr>
          </w:tbl>
          <w:p>
            <w:pPr>
              <w:pStyle w:val="86"/>
              <w:spacing w:line="360" w:lineRule="auto"/>
              <w:ind w:left="0" w:leftChars="0" w:firstLine="0" w:firstLineChars="0"/>
              <w:jc w:val="both"/>
              <w:rPr>
                <w:rFonts w:hint="eastAsia"/>
                <w:color w:val="000000" w:themeColor="text1"/>
                <w14:textFill>
                  <w14:solidFill>
                    <w14:schemeClr w14:val="tx1"/>
                  </w14:solidFill>
                </w14:textFill>
              </w:rPr>
            </w:pPr>
          </w:p>
          <w:p>
            <w:pPr>
              <w:pStyle w:val="86"/>
              <w:spacing w:line="360" w:lineRule="auto"/>
              <w:ind w:firstLine="2409" w:firstLineChars="1000"/>
              <w:rPr>
                <w:b/>
              </w:rPr>
            </w:pPr>
            <w:r>
              <w:rPr>
                <w:rFonts w:hint="eastAsia"/>
                <w:b/>
              </w:rPr>
              <w:t>表 7.2-</w:t>
            </w:r>
            <w:r>
              <w:rPr>
                <w:rFonts w:hint="eastAsia"/>
                <w:b/>
                <w:lang w:val="en-US" w:eastAsia="zh-CN"/>
              </w:rPr>
              <w:t>2</w:t>
            </w:r>
            <w:r>
              <w:rPr>
                <w:rFonts w:hint="eastAsia"/>
                <w:b/>
              </w:rPr>
              <w:t xml:space="preserve"> </w:t>
            </w:r>
            <w:r>
              <w:rPr>
                <w:rFonts w:hint="eastAsia"/>
                <w:b/>
                <w:lang w:val="en-US" w:eastAsia="zh-CN"/>
              </w:rPr>
              <w:t>无</w:t>
            </w:r>
            <w:r>
              <w:rPr>
                <w:rFonts w:hint="eastAsia"/>
                <w:b/>
              </w:rPr>
              <w:t>组织工业废气监测结果一览表</w:t>
            </w:r>
          </w:p>
          <w:tbl>
            <w:tblPr>
              <w:tblStyle w:val="37"/>
              <w:tblpPr w:leftFromText="180" w:rightFromText="180" w:vertAnchor="text" w:horzAnchor="page" w:tblpX="110" w:tblpY="437"/>
              <w:tblOverlap w:val="never"/>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9"/>
              <w:gridCol w:w="1520"/>
              <w:gridCol w:w="1445"/>
              <w:gridCol w:w="1574"/>
              <w:gridCol w:w="1409"/>
              <w:gridCol w:w="1087"/>
              <w:gridCol w:w="10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blHeader/>
                <w:jc w:val="center"/>
              </w:trPr>
              <w:tc>
                <w:tcPr>
                  <w:tcW w:w="486" w:type="pct"/>
                  <w:noWrap w:val="0"/>
                  <w:vAlign w:val="center"/>
                </w:tcPr>
                <w:p>
                  <w:pPr>
                    <w:pStyle w:val="104"/>
                    <w:ind w:left="-105" w:leftChars="-50" w:right="-105" w:rightChars="-50"/>
                    <w:jc w:val="center"/>
                    <w:rPr>
                      <w:rFonts w:ascii="Times New Roman" w:hAnsi="Times New Roman"/>
                      <w:sz w:val="21"/>
                      <w:szCs w:val="21"/>
                    </w:rPr>
                  </w:pPr>
                  <w:r>
                    <w:rPr>
                      <w:rFonts w:ascii="Times New Roman" w:hAnsi="Times New Roman"/>
                      <w:sz w:val="21"/>
                      <w:szCs w:val="21"/>
                    </w:rPr>
                    <w:t>序号</w:t>
                  </w:r>
                </w:p>
              </w:tc>
              <w:tc>
                <w:tcPr>
                  <w:tcW w:w="849" w:type="pct"/>
                  <w:noWrap w:val="0"/>
                  <w:vAlign w:val="center"/>
                </w:tcPr>
                <w:p>
                  <w:pPr>
                    <w:pStyle w:val="104"/>
                    <w:ind w:left="-105" w:leftChars="-50" w:right="-105" w:rightChars="-50"/>
                    <w:jc w:val="center"/>
                    <w:rPr>
                      <w:rFonts w:ascii="Times New Roman" w:hAnsi="Times New Roman"/>
                      <w:sz w:val="21"/>
                      <w:szCs w:val="21"/>
                    </w:rPr>
                  </w:pPr>
                  <w:r>
                    <w:rPr>
                      <w:rFonts w:ascii="Times New Roman" w:hAnsi="Times New Roman"/>
                      <w:sz w:val="21"/>
                      <w:szCs w:val="21"/>
                    </w:rPr>
                    <w:t>检测项目</w:t>
                  </w:r>
                </w:p>
              </w:tc>
              <w:tc>
                <w:tcPr>
                  <w:tcW w:w="807" w:type="pct"/>
                  <w:noWrap w:val="0"/>
                  <w:vAlign w:val="center"/>
                </w:tcPr>
                <w:p>
                  <w:pPr>
                    <w:pStyle w:val="104"/>
                    <w:ind w:left="-105" w:leftChars="-50" w:right="-105" w:rightChars="-50"/>
                    <w:jc w:val="center"/>
                    <w:rPr>
                      <w:rFonts w:ascii="Times New Roman" w:hAnsi="Times New Roman"/>
                      <w:sz w:val="21"/>
                      <w:szCs w:val="21"/>
                    </w:rPr>
                  </w:pPr>
                  <w:r>
                    <w:rPr>
                      <w:rFonts w:ascii="Times New Roman" w:hAnsi="Times New Roman"/>
                      <w:sz w:val="21"/>
                      <w:szCs w:val="21"/>
                    </w:rPr>
                    <w:t>采样日期</w:t>
                  </w:r>
                </w:p>
              </w:tc>
              <w:tc>
                <w:tcPr>
                  <w:tcW w:w="879" w:type="pct"/>
                  <w:noWrap w:val="0"/>
                  <w:vAlign w:val="center"/>
                </w:tcPr>
                <w:p>
                  <w:pPr>
                    <w:pStyle w:val="104"/>
                    <w:ind w:left="-105" w:leftChars="-50" w:right="-105" w:rightChars="-50"/>
                    <w:jc w:val="center"/>
                    <w:rPr>
                      <w:rFonts w:ascii="Times New Roman" w:hAnsi="Times New Roman"/>
                      <w:sz w:val="21"/>
                      <w:szCs w:val="21"/>
                    </w:rPr>
                  </w:pPr>
                  <w:r>
                    <w:rPr>
                      <w:rFonts w:hint="eastAsia" w:ascii="Times New Roman" w:hAnsi="Times New Roman"/>
                      <w:sz w:val="21"/>
                      <w:szCs w:val="21"/>
                    </w:rPr>
                    <w:t>采样</w:t>
                  </w:r>
                  <w:r>
                    <w:rPr>
                      <w:rFonts w:ascii="Times New Roman" w:hAnsi="Times New Roman"/>
                      <w:sz w:val="21"/>
                      <w:szCs w:val="21"/>
                    </w:rPr>
                    <w:t>点位置</w:t>
                  </w:r>
                </w:p>
              </w:tc>
              <w:tc>
                <w:tcPr>
                  <w:tcW w:w="787" w:type="pct"/>
                  <w:noWrap w:val="0"/>
                  <w:vAlign w:val="center"/>
                </w:tcPr>
                <w:p>
                  <w:pPr>
                    <w:pStyle w:val="104"/>
                    <w:ind w:left="-105" w:leftChars="-50" w:right="-105" w:rightChars="-50"/>
                    <w:jc w:val="center"/>
                    <w:rPr>
                      <w:rFonts w:hint="eastAsia" w:ascii="Times New Roman" w:hAnsi="Times New Roman" w:eastAsia="宋体"/>
                      <w:sz w:val="21"/>
                      <w:szCs w:val="21"/>
                      <w:lang w:eastAsia="zh-CN"/>
                    </w:rPr>
                  </w:pPr>
                  <w:r>
                    <w:rPr>
                      <w:rFonts w:ascii="Times New Roman" w:hAnsi="Times New Roman"/>
                      <w:sz w:val="21"/>
                      <w:szCs w:val="21"/>
                    </w:rPr>
                    <w:t>检测结果</w:t>
                  </w:r>
                </w:p>
              </w:tc>
              <w:tc>
                <w:tcPr>
                  <w:tcW w:w="607"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ascii="Times New Roman" w:hAnsi="Times New Roman"/>
                      <w:sz w:val="21"/>
                      <w:szCs w:val="21"/>
                    </w:rPr>
                    <w:t>标准限值</w:t>
                  </w:r>
                </w:p>
              </w:tc>
              <w:tc>
                <w:tcPr>
                  <w:tcW w:w="583" w:type="pct"/>
                  <w:noWrap w:val="0"/>
                  <w:vAlign w:val="center"/>
                </w:tcPr>
                <w:p>
                  <w:pPr>
                    <w:pStyle w:val="104"/>
                    <w:ind w:left="-105" w:leftChars="-50" w:right="-105" w:rightChars="-50"/>
                    <w:jc w:val="center"/>
                    <w:rPr>
                      <w:rFonts w:ascii="Times New Roman" w:hAnsi="Times New Roman"/>
                      <w:sz w:val="21"/>
                      <w:szCs w:val="21"/>
                    </w:rPr>
                  </w:pPr>
                  <w:r>
                    <w:rPr>
                      <w:rFonts w:ascii="Times New Roman" w:hAnsi="Times New Roman"/>
                      <w:sz w:val="21"/>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6" w:type="pct"/>
                  <w:vMerge w:val="restar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849"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color w:val="000000"/>
                      <w:sz w:val="21"/>
                      <w:szCs w:val="21"/>
                      <w:lang w:val="en-US" w:eastAsia="zh-CN"/>
                    </w:rPr>
                    <w:t>非甲烷总烃</w:t>
                  </w:r>
                </w:p>
              </w:tc>
              <w:tc>
                <w:tcPr>
                  <w:tcW w:w="807"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val="en-US" w:eastAsia="zh-CN"/>
                    </w:rPr>
                  </w:pPr>
                  <w:r>
                    <w:rPr>
                      <w:rFonts w:hint="eastAsia"/>
                      <w:sz w:val="21"/>
                      <w:szCs w:val="21"/>
                      <w:lang w:eastAsia="zh-CN"/>
                    </w:rPr>
                    <w:t>2022.2.17</w:t>
                  </w:r>
                </w:p>
              </w:tc>
              <w:tc>
                <w:tcPr>
                  <w:tcW w:w="879"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sz w:val="21"/>
                      <w:szCs w:val="21"/>
                      <w:lang w:eastAsia="zh-CN"/>
                    </w:rPr>
                    <w:t>东</w:t>
                  </w:r>
                </w:p>
              </w:tc>
              <w:tc>
                <w:tcPr>
                  <w:tcW w:w="787"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1.01</w:t>
                  </w:r>
                </w:p>
              </w:tc>
              <w:tc>
                <w:tcPr>
                  <w:tcW w:w="607" w:type="pct"/>
                  <w:vMerge w:val="restart"/>
                  <w:noWrap w:val="0"/>
                  <w:vAlign w:val="center"/>
                </w:tcPr>
                <w:p>
                  <w:pPr>
                    <w:spacing w:after="0"/>
                    <w:ind w:left="-105" w:leftChars="-50" w:right="-105" w:rightChars="-5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4.0</w:t>
                  </w:r>
                </w:p>
              </w:tc>
              <w:tc>
                <w:tcPr>
                  <w:tcW w:w="583" w:type="pct"/>
                  <w:vMerge w:val="restart"/>
                  <w:noWrap w:val="0"/>
                  <w:vAlign w:val="center"/>
                </w:tcPr>
                <w:p>
                  <w:pPr>
                    <w:tabs>
                      <w:tab w:val="left" w:pos="5400"/>
                    </w:tabs>
                    <w:spacing w:after="0"/>
                    <w:ind w:left="-105" w:leftChars="-50" w:right="-105" w:rightChars="-50"/>
                    <w:jc w:val="center"/>
                    <w:rPr>
                      <w:rFonts w:ascii="Times New Roman" w:hAnsi="Times New Roman"/>
                      <w:color w:val="000000"/>
                      <w:sz w:val="21"/>
                      <w:szCs w:val="21"/>
                      <w:shd w:val="clear" w:color="auto" w:fill="FFFFFF"/>
                    </w:rPr>
                  </w:pPr>
                  <w:r>
                    <w:rPr>
                      <w:rFonts w:ascii="Times New Roman" w:hAnsi="Times New Roman"/>
                      <w:sz w:val="21"/>
                      <w:szCs w:val="21"/>
                    </w:rPr>
                    <w:t>mg/m</w:t>
                  </w:r>
                  <w:r>
                    <w:rPr>
                      <w:rFonts w:ascii="Times New Roman" w:hAnsi="Times New Roman"/>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6"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9"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07"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val="en-US" w:eastAsia="zh-CN"/>
                    </w:rPr>
                  </w:pPr>
                  <w:r>
                    <w:rPr>
                      <w:rFonts w:hint="eastAsia"/>
                      <w:sz w:val="21"/>
                      <w:szCs w:val="21"/>
                      <w:lang w:eastAsia="zh-CN"/>
                    </w:rPr>
                    <w:t>2022.2.18</w:t>
                  </w:r>
                </w:p>
              </w:tc>
              <w:tc>
                <w:tcPr>
                  <w:tcW w:w="879"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787"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0.80</w:t>
                  </w:r>
                </w:p>
              </w:tc>
              <w:tc>
                <w:tcPr>
                  <w:tcW w:w="607" w:type="pct"/>
                  <w:vMerge w:val="continue"/>
                  <w:noWrap w:val="0"/>
                  <w:vAlign w:val="center"/>
                </w:tcPr>
                <w:p>
                  <w:pPr>
                    <w:spacing w:after="0"/>
                    <w:ind w:left="-105" w:leftChars="-50" w:right="-105" w:rightChars="-50"/>
                    <w:jc w:val="center"/>
                    <w:rPr>
                      <w:rFonts w:ascii="Times New Roman" w:hAnsi="Times New Roman"/>
                      <w:sz w:val="21"/>
                      <w:szCs w:val="21"/>
                    </w:rPr>
                  </w:pPr>
                </w:p>
              </w:tc>
              <w:tc>
                <w:tcPr>
                  <w:tcW w:w="583" w:type="pct"/>
                  <w:vMerge w:val="continue"/>
                  <w:noWrap w:val="0"/>
                  <w:vAlign w:val="center"/>
                </w:tcPr>
                <w:p>
                  <w:pPr>
                    <w:tabs>
                      <w:tab w:val="left" w:pos="5400"/>
                    </w:tabs>
                    <w:spacing w:after="0"/>
                    <w:ind w:left="-105" w:leftChars="-50" w:right="-105" w:rightChars="-50"/>
                    <w:jc w:val="center"/>
                    <w:rPr>
                      <w:rFonts w:ascii="Times New Roman" w:hAnsi="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jc w:val="center"/>
              </w:trPr>
              <w:tc>
                <w:tcPr>
                  <w:tcW w:w="486" w:type="pct"/>
                  <w:vMerge w:val="restart"/>
                  <w:noWrap w:val="0"/>
                  <w:vAlign w:val="center"/>
                </w:tcPr>
                <w:p>
                  <w:pPr>
                    <w:tabs>
                      <w:tab w:val="left" w:pos="5400"/>
                    </w:tabs>
                    <w:spacing w:after="0"/>
                    <w:ind w:left="-105" w:leftChars="-50" w:right="-105" w:rightChars="-50" w:firstLine="210" w:firstLineChars="100"/>
                    <w:jc w:val="center"/>
                    <w:rPr>
                      <w:rFonts w:hint="eastAsia" w:ascii="Times New Roman" w:hAnsi="Times New Roman" w:eastAsia="宋体"/>
                      <w:sz w:val="21"/>
                      <w:szCs w:val="21"/>
                      <w:lang w:val="en-US" w:eastAsia="zh-CN"/>
                    </w:rPr>
                  </w:pPr>
                  <w:r>
                    <w:rPr>
                      <w:rFonts w:hint="eastAsia"/>
                      <w:sz w:val="21"/>
                      <w:szCs w:val="21"/>
                      <w:lang w:val="en-US" w:eastAsia="zh-CN"/>
                    </w:rPr>
                    <w:t>2</w:t>
                  </w:r>
                </w:p>
              </w:tc>
              <w:tc>
                <w:tcPr>
                  <w:tcW w:w="849" w:type="pct"/>
                  <w:vMerge w:val="restart"/>
                  <w:noWrap w:val="0"/>
                  <w:vAlign w:val="center"/>
                </w:tcPr>
                <w:p>
                  <w:pPr>
                    <w:tabs>
                      <w:tab w:val="left" w:pos="5400"/>
                    </w:tabs>
                    <w:spacing w:after="0"/>
                    <w:ind w:left="-105" w:leftChars="-50" w:right="-105" w:rightChars="-50" w:firstLine="210" w:firstLineChars="100"/>
                    <w:jc w:val="center"/>
                    <w:rPr>
                      <w:rFonts w:hint="eastAsia" w:ascii="Times New Roman" w:hAnsi="Times New Roman" w:eastAsia="宋体"/>
                      <w:sz w:val="21"/>
                      <w:szCs w:val="21"/>
                      <w:lang w:val="en-US" w:eastAsia="zh-CN"/>
                    </w:rPr>
                  </w:pPr>
                  <w:r>
                    <w:rPr>
                      <w:rFonts w:hint="eastAsia"/>
                      <w:sz w:val="21"/>
                      <w:szCs w:val="21"/>
                      <w:lang w:val="en-US" w:eastAsia="zh-CN"/>
                    </w:rPr>
                    <w:t>非甲烷总烃</w:t>
                  </w:r>
                </w:p>
              </w:tc>
              <w:tc>
                <w:tcPr>
                  <w:tcW w:w="807"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sz w:val="21"/>
                      <w:szCs w:val="21"/>
                      <w:lang w:eastAsia="zh-CN"/>
                    </w:rPr>
                    <w:t>2022.2.17</w:t>
                  </w:r>
                </w:p>
              </w:tc>
              <w:tc>
                <w:tcPr>
                  <w:tcW w:w="879"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sz w:val="21"/>
                      <w:szCs w:val="21"/>
                      <w:lang w:eastAsia="zh-CN"/>
                    </w:rPr>
                    <w:t>南</w:t>
                  </w:r>
                </w:p>
              </w:tc>
              <w:tc>
                <w:tcPr>
                  <w:tcW w:w="787" w:type="pct"/>
                  <w:noWrap w:val="0"/>
                  <w:vAlign w:val="center"/>
                </w:tcPr>
                <w:p>
                  <w:pPr>
                    <w:tabs>
                      <w:tab w:val="left" w:pos="5400"/>
                    </w:tabs>
                    <w:spacing w:after="0"/>
                    <w:ind w:left="-105" w:leftChars="-50" w:right="-105" w:rightChars="-50" w:firstLine="210" w:firstLineChars="100"/>
                    <w:jc w:val="center"/>
                    <w:rPr>
                      <w:rFonts w:hint="default" w:ascii="Times New Roman" w:hAnsi="Times New Roman" w:eastAsia="宋体"/>
                      <w:sz w:val="21"/>
                      <w:szCs w:val="21"/>
                      <w:lang w:val="en-US" w:eastAsia="zh-CN"/>
                    </w:rPr>
                  </w:pPr>
                  <w:r>
                    <w:rPr>
                      <w:rFonts w:hint="eastAsia"/>
                      <w:sz w:val="21"/>
                      <w:szCs w:val="21"/>
                      <w:lang w:val="en-US" w:eastAsia="zh-CN"/>
                    </w:rPr>
                    <w:t>0.90</w:t>
                  </w:r>
                </w:p>
              </w:tc>
              <w:tc>
                <w:tcPr>
                  <w:tcW w:w="607" w:type="pct"/>
                  <w:vMerge w:val="continue"/>
                  <w:noWrap w:val="0"/>
                  <w:vAlign w:val="center"/>
                </w:tcPr>
                <w:p>
                  <w:pPr>
                    <w:tabs>
                      <w:tab w:val="left" w:pos="5400"/>
                    </w:tabs>
                    <w:spacing w:after="0"/>
                    <w:ind w:right="-105" w:rightChars="-50"/>
                    <w:jc w:val="center"/>
                    <w:rPr>
                      <w:rFonts w:hint="default" w:ascii="Times New Roman" w:hAnsi="Times New Roman" w:eastAsia="宋体"/>
                      <w:sz w:val="21"/>
                      <w:szCs w:val="21"/>
                      <w:lang w:val="en-US" w:eastAsia="zh-CN"/>
                    </w:rPr>
                  </w:pPr>
                </w:p>
              </w:tc>
              <w:tc>
                <w:tcPr>
                  <w:tcW w:w="583"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486"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849"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807" w:type="pct"/>
                  <w:noWrap w:val="0"/>
                  <w:vAlign w:val="center"/>
                </w:tcPr>
                <w:p>
                  <w:pPr>
                    <w:tabs>
                      <w:tab w:val="left" w:pos="5400"/>
                    </w:tabs>
                    <w:spacing w:after="0"/>
                    <w:ind w:left="-105" w:leftChars="-50" w:right="-105" w:rightChars="-50"/>
                    <w:jc w:val="center"/>
                    <w:rPr>
                      <w:rFonts w:hint="eastAsia" w:ascii="Times New Roman" w:hAnsi="Times New Roman" w:eastAsia="宋体"/>
                      <w:color w:val="000000"/>
                      <w:sz w:val="21"/>
                      <w:szCs w:val="21"/>
                      <w:shd w:val="clear" w:color="auto" w:fill="FFFFFF"/>
                      <w:lang w:eastAsia="zh-CN"/>
                    </w:rPr>
                  </w:pPr>
                  <w:r>
                    <w:rPr>
                      <w:rFonts w:hint="eastAsia"/>
                      <w:sz w:val="21"/>
                      <w:szCs w:val="21"/>
                      <w:lang w:eastAsia="zh-CN"/>
                    </w:rPr>
                    <w:t>2022.2.18</w:t>
                  </w:r>
                </w:p>
              </w:tc>
              <w:tc>
                <w:tcPr>
                  <w:tcW w:w="879" w:type="pct"/>
                  <w:vMerge w:val="continue"/>
                  <w:noWrap w:val="0"/>
                  <w:vAlign w:val="center"/>
                </w:tcPr>
                <w:p>
                  <w:pPr>
                    <w:tabs>
                      <w:tab w:val="left" w:pos="5400"/>
                    </w:tabs>
                    <w:spacing w:after="0"/>
                    <w:ind w:left="-105" w:leftChars="-50" w:right="-105" w:rightChars="-50"/>
                    <w:jc w:val="center"/>
                    <w:rPr>
                      <w:rFonts w:hint="eastAsia" w:ascii="Times New Roman" w:hAnsi="Times New Roman"/>
                      <w:color w:val="000000"/>
                      <w:sz w:val="21"/>
                      <w:szCs w:val="21"/>
                      <w:shd w:val="clear" w:color="auto" w:fill="FFFFFF"/>
                    </w:rPr>
                  </w:pPr>
                </w:p>
              </w:tc>
              <w:tc>
                <w:tcPr>
                  <w:tcW w:w="787" w:type="pct"/>
                  <w:noWrap w:val="0"/>
                  <w:vAlign w:val="center"/>
                </w:tcPr>
                <w:p>
                  <w:pPr>
                    <w:tabs>
                      <w:tab w:val="left" w:pos="5400"/>
                    </w:tabs>
                    <w:spacing w:after="0"/>
                    <w:ind w:left="-105" w:leftChars="-50" w:right="-105" w:rightChars="-50" w:firstLine="210" w:firstLineChars="100"/>
                    <w:jc w:val="center"/>
                    <w:rPr>
                      <w:rFonts w:hint="default" w:ascii="Times New Roman" w:hAnsi="Times New Roman" w:eastAsia="宋体"/>
                      <w:color w:val="000000"/>
                      <w:sz w:val="21"/>
                      <w:szCs w:val="21"/>
                      <w:shd w:val="clear" w:color="auto" w:fill="FFFFFF"/>
                      <w:lang w:val="en-US" w:eastAsia="zh-CN"/>
                    </w:rPr>
                  </w:pPr>
                  <w:r>
                    <w:rPr>
                      <w:rFonts w:hint="eastAsia"/>
                      <w:color w:val="000000"/>
                      <w:sz w:val="21"/>
                      <w:szCs w:val="21"/>
                      <w:shd w:val="clear" w:color="auto" w:fill="FFFFFF"/>
                      <w:lang w:val="en-US" w:eastAsia="zh-CN"/>
                    </w:rPr>
                    <w:t>0.83</w:t>
                  </w:r>
                </w:p>
              </w:tc>
              <w:tc>
                <w:tcPr>
                  <w:tcW w:w="607"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583" w:type="pct"/>
                  <w:vMerge w:val="continue"/>
                  <w:noWrap w:val="0"/>
                  <w:vAlign w:val="center"/>
                </w:tcPr>
                <w:p>
                  <w:pPr>
                    <w:tabs>
                      <w:tab w:val="left" w:pos="5400"/>
                    </w:tabs>
                    <w:spacing w:after="0"/>
                    <w:ind w:left="-105" w:leftChars="-50" w:right="-105" w:rightChars="-50"/>
                    <w:jc w:val="center"/>
                    <w:rPr>
                      <w:rFonts w:hint="eastAsia" w:ascii="Times New Roman" w:hAnsi="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486" w:type="pct"/>
                  <w:vMerge w:val="restart"/>
                  <w:noWrap w:val="0"/>
                  <w:vAlign w:val="center"/>
                </w:tcPr>
                <w:p>
                  <w:pPr>
                    <w:tabs>
                      <w:tab w:val="left" w:pos="5400"/>
                    </w:tabs>
                    <w:spacing w:after="0"/>
                    <w:ind w:left="-105" w:leftChars="-50" w:right="-105" w:rightChars="-50" w:firstLine="210" w:firstLineChars="100"/>
                    <w:jc w:val="center"/>
                    <w:rPr>
                      <w:rFonts w:hint="eastAsia" w:ascii="Times New Roman" w:hAnsi="Times New Roman" w:eastAsia="宋体"/>
                      <w:color w:val="000000"/>
                      <w:sz w:val="21"/>
                      <w:szCs w:val="21"/>
                      <w:shd w:val="clear" w:color="auto" w:fill="FFFFFF"/>
                      <w:lang w:val="en-US" w:eastAsia="zh-CN"/>
                    </w:rPr>
                  </w:pPr>
                  <w:r>
                    <w:rPr>
                      <w:rFonts w:hint="eastAsia" w:ascii="Times New Roman" w:hAnsi="Times New Roman"/>
                      <w:color w:val="000000"/>
                      <w:sz w:val="21"/>
                      <w:szCs w:val="21"/>
                      <w:shd w:val="clear" w:color="auto" w:fill="FFFFFF"/>
                      <w:lang w:val="en-US" w:eastAsia="zh-CN"/>
                    </w:rPr>
                    <w:t>3</w:t>
                  </w:r>
                </w:p>
              </w:tc>
              <w:tc>
                <w:tcPr>
                  <w:tcW w:w="849" w:type="pct"/>
                  <w:vMerge w:val="restart"/>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r>
                    <w:rPr>
                      <w:rFonts w:hint="eastAsia"/>
                      <w:sz w:val="21"/>
                      <w:szCs w:val="21"/>
                      <w:lang w:val="en-US" w:eastAsia="zh-CN"/>
                    </w:rPr>
                    <w:t>非甲烷总烃</w:t>
                  </w:r>
                </w:p>
              </w:tc>
              <w:tc>
                <w:tcPr>
                  <w:tcW w:w="807"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sz w:val="21"/>
                      <w:szCs w:val="21"/>
                      <w:lang w:eastAsia="zh-CN"/>
                    </w:rPr>
                    <w:t>2022.2.17</w:t>
                  </w:r>
                </w:p>
              </w:tc>
              <w:tc>
                <w:tcPr>
                  <w:tcW w:w="879"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olor w:val="000000"/>
                      <w:sz w:val="21"/>
                      <w:szCs w:val="21"/>
                      <w:shd w:val="clear" w:color="auto" w:fill="FFFFFF"/>
                      <w:lang w:eastAsia="zh-CN"/>
                    </w:rPr>
                  </w:pPr>
                  <w:r>
                    <w:rPr>
                      <w:rFonts w:hint="eastAsia"/>
                      <w:color w:val="000000"/>
                      <w:sz w:val="21"/>
                      <w:szCs w:val="21"/>
                      <w:shd w:val="clear" w:color="auto" w:fill="FFFFFF"/>
                      <w:lang w:eastAsia="zh-CN"/>
                    </w:rPr>
                    <w:t>西</w:t>
                  </w:r>
                </w:p>
              </w:tc>
              <w:tc>
                <w:tcPr>
                  <w:tcW w:w="787" w:type="pct"/>
                  <w:noWrap w:val="0"/>
                  <w:vAlign w:val="center"/>
                </w:tcPr>
                <w:p>
                  <w:pPr>
                    <w:tabs>
                      <w:tab w:val="left" w:pos="5400"/>
                    </w:tabs>
                    <w:spacing w:after="0"/>
                    <w:ind w:left="-105" w:leftChars="-50" w:right="-105" w:rightChars="-50" w:firstLine="210" w:firstLineChars="100"/>
                    <w:jc w:val="center"/>
                    <w:rPr>
                      <w:rFonts w:hint="default" w:ascii="Times New Roman" w:hAnsi="Times New Roman" w:eastAsia="宋体"/>
                      <w:color w:val="000000"/>
                      <w:sz w:val="21"/>
                      <w:szCs w:val="21"/>
                      <w:shd w:val="clear" w:color="auto" w:fill="FFFFFF"/>
                      <w:lang w:val="en-US" w:eastAsia="zh-CN"/>
                    </w:rPr>
                  </w:pPr>
                  <w:r>
                    <w:rPr>
                      <w:rFonts w:hint="eastAsia"/>
                      <w:color w:val="000000"/>
                      <w:sz w:val="21"/>
                      <w:szCs w:val="21"/>
                      <w:shd w:val="clear" w:color="auto" w:fill="FFFFFF"/>
                      <w:lang w:val="en-US" w:eastAsia="zh-CN"/>
                    </w:rPr>
                    <w:t>0.91</w:t>
                  </w:r>
                </w:p>
              </w:tc>
              <w:tc>
                <w:tcPr>
                  <w:tcW w:w="607"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583"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486"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849"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807"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sz w:val="21"/>
                      <w:szCs w:val="21"/>
                      <w:lang w:eastAsia="zh-CN"/>
                    </w:rPr>
                    <w:t>2022.2.18</w:t>
                  </w:r>
                </w:p>
              </w:tc>
              <w:tc>
                <w:tcPr>
                  <w:tcW w:w="879" w:type="pct"/>
                  <w:vMerge w:val="continue"/>
                  <w:noWrap w:val="0"/>
                  <w:vAlign w:val="center"/>
                </w:tcPr>
                <w:p>
                  <w:pPr>
                    <w:tabs>
                      <w:tab w:val="left" w:pos="5400"/>
                    </w:tabs>
                    <w:spacing w:after="0"/>
                    <w:ind w:left="-105" w:leftChars="-50" w:right="-105" w:rightChars="-50"/>
                    <w:jc w:val="center"/>
                    <w:rPr>
                      <w:rFonts w:hint="eastAsia" w:ascii="Times New Roman" w:hAnsi="Times New Roman"/>
                      <w:color w:val="000000"/>
                      <w:sz w:val="21"/>
                      <w:szCs w:val="21"/>
                      <w:shd w:val="clear" w:color="auto" w:fill="FFFFFF"/>
                    </w:rPr>
                  </w:pPr>
                </w:p>
              </w:tc>
              <w:tc>
                <w:tcPr>
                  <w:tcW w:w="787" w:type="pct"/>
                  <w:noWrap w:val="0"/>
                  <w:vAlign w:val="center"/>
                </w:tcPr>
                <w:p>
                  <w:pPr>
                    <w:tabs>
                      <w:tab w:val="left" w:pos="5400"/>
                    </w:tabs>
                    <w:spacing w:after="0"/>
                    <w:ind w:left="-105" w:leftChars="-50" w:right="-105" w:rightChars="-50" w:firstLine="210" w:firstLineChars="100"/>
                    <w:jc w:val="center"/>
                    <w:rPr>
                      <w:rFonts w:hint="default" w:ascii="Times New Roman" w:hAnsi="Times New Roman" w:eastAsia="宋体"/>
                      <w:color w:val="000000"/>
                      <w:sz w:val="21"/>
                      <w:szCs w:val="21"/>
                      <w:shd w:val="clear" w:color="auto" w:fill="FFFFFF"/>
                      <w:lang w:val="en-US" w:eastAsia="zh-CN"/>
                    </w:rPr>
                  </w:pPr>
                  <w:r>
                    <w:rPr>
                      <w:rFonts w:hint="eastAsia"/>
                      <w:color w:val="000000"/>
                      <w:sz w:val="21"/>
                      <w:szCs w:val="21"/>
                      <w:shd w:val="clear" w:color="auto" w:fill="FFFFFF"/>
                      <w:lang w:val="en-US" w:eastAsia="zh-CN"/>
                    </w:rPr>
                    <w:t>0.73</w:t>
                  </w:r>
                </w:p>
              </w:tc>
              <w:tc>
                <w:tcPr>
                  <w:tcW w:w="607"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583"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486" w:type="pct"/>
                  <w:vMerge w:val="restart"/>
                  <w:noWrap w:val="0"/>
                  <w:vAlign w:val="center"/>
                </w:tcPr>
                <w:p>
                  <w:pPr>
                    <w:tabs>
                      <w:tab w:val="left" w:pos="5400"/>
                    </w:tabs>
                    <w:spacing w:after="0"/>
                    <w:ind w:left="-105" w:leftChars="-50" w:right="-105" w:rightChars="-50" w:firstLine="210" w:firstLineChars="100"/>
                    <w:jc w:val="center"/>
                    <w:rPr>
                      <w:rFonts w:hint="eastAsia" w:ascii="Times New Roman" w:hAnsi="Times New Roman" w:eastAsia="宋体"/>
                      <w:color w:val="000000"/>
                      <w:sz w:val="21"/>
                      <w:szCs w:val="21"/>
                      <w:shd w:val="clear" w:color="auto" w:fill="FFFFFF"/>
                      <w:lang w:val="en-US" w:eastAsia="zh-CN"/>
                    </w:rPr>
                  </w:pPr>
                  <w:r>
                    <w:rPr>
                      <w:rFonts w:hint="eastAsia"/>
                      <w:color w:val="000000"/>
                      <w:sz w:val="21"/>
                      <w:szCs w:val="21"/>
                      <w:shd w:val="clear" w:color="auto" w:fill="FFFFFF"/>
                      <w:lang w:val="en-US" w:eastAsia="zh-CN"/>
                    </w:rPr>
                    <w:t>4</w:t>
                  </w:r>
                </w:p>
              </w:tc>
              <w:tc>
                <w:tcPr>
                  <w:tcW w:w="849" w:type="pct"/>
                  <w:vMerge w:val="restart"/>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r>
                    <w:rPr>
                      <w:rFonts w:hint="eastAsia"/>
                      <w:sz w:val="21"/>
                      <w:szCs w:val="21"/>
                      <w:lang w:val="en-US" w:eastAsia="zh-CN"/>
                    </w:rPr>
                    <w:t>非甲烷总烃</w:t>
                  </w:r>
                </w:p>
              </w:tc>
              <w:tc>
                <w:tcPr>
                  <w:tcW w:w="807"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sz w:val="21"/>
                      <w:szCs w:val="21"/>
                      <w:lang w:eastAsia="zh-CN"/>
                    </w:rPr>
                    <w:t>2022.2.17</w:t>
                  </w:r>
                </w:p>
              </w:tc>
              <w:tc>
                <w:tcPr>
                  <w:tcW w:w="879"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olor w:val="000000"/>
                      <w:sz w:val="21"/>
                      <w:szCs w:val="21"/>
                      <w:shd w:val="clear" w:color="auto" w:fill="FFFFFF"/>
                      <w:lang w:eastAsia="zh-CN"/>
                    </w:rPr>
                  </w:pPr>
                  <w:r>
                    <w:rPr>
                      <w:rFonts w:hint="eastAsia"/>
                      <w:color w:val="000000"/>
                      <w:sz w:val="21"/>
                      <w:szCs w:val="21"/>
                      <w:shd w:val="clear" w:color="auto" w:fill="FFFFFF"/>
                      <w:lang w:eastAsia="zh-CN"/>
                    </w:rPr>
                    <w:t>北</w:t>
                  </w:r>
                </w:p>
              </w:tc>
              <w:tc>
                <w:tcPr>
                  <w:tcW w:w="787" w:type="pct"/>
                  <w:noWrap w:val="0"/>
                  <w:vAlign w:val="center"/>
                </w:tcPr>
                <w:p>
                  <w:pPr>
                    <w:tabs>
                      <w:tab w:val="left" w:pos="5400"/>
                    </w:tabs>
                    <w:spacing w:after="0"/>
                    <w:ind w:left="-105" w:leftChars="-50" w:right="-105" w:rightChars="-50" w:firstLine="210" w:firstLineChars="100"/>
                    <w:jc w:val="center"/>
                    <w:rPr>
                      <w:rFonts w:hint="default" w:ascii="Times New Roman" w:hAnsi="Times New Roman"/>
                      <w:color w:val="000000"/>
                      <w:sz w:val="21"/>
                      <w:szCs w:val="21"/>
                      <w:shd w:val="clear" w:color="auto" w:fill="FFFFFF"/>
                      <w:lang w:val="en-US" w:eastAsia="zh-CN"/>
                    </w:rPr>
                  </w:pPr>
                  <w:r>
                    <w:rPr>
                      <w:rFonts w:hint="eastAsia"/>
                      <w:color w:val="000000"/>
                      <w:sz w:val="21"/>
                      <w:szCs w:val="21"/>
                      <w:shd w:val="clear" w:color="auto" w:fill="FFFFFF"/>
                      <w:lang w:val="en-US" w:eastAsia="zh-CN"/>
                    </w:rPr>
                    <w:t>0.88</w:t>
                  </w:r>
                </w:p>
              </w:tc>
              <w:tc>
                <w:tcPr>
                  <w:tcW w:w="607"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583"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486"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849"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807"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r>
                    <w:rPr>
                      <w:rFonts w:hint="eastAsia"/>
                      <w:sz w:val="21"/>
                      <w:szCs w:val="21"/>
                      <w:lang w:eastAsia="zh-CN"/>
                    </w:rPr>
                    <w:t>2022.2.18</w:t>
                  </w:r>
                </w:p>
              </w:tc>
              <w:tc>
                <w:tcPr>
                  <w:tcW w:w="879" w:type="pct"/>
                  <w:vMerge w:val="continue"/>
                  <w:noWrap w:val="0"/>
                  <w:vAlign w:val="center"/>
                </w:tcPr>
                <w:p>
                  <w:pPr>
                    <w:tabs>
                      <w:tab w:val="left" w:pos="5400"/>
                    </w:tabs>
                    <w:spacing w:after="0"/>
                    <w:ind w:left="-105" w:leftChars="-50" w:right="-105" w:rightChars="-50"/>
                    <w:jc w:val="center"/>
                    <w:rPr>
                      <w:rFonts w:hint="eastAsia" w:ascii="Times New Roman" w:hAnsi="Times New Roman"/>
                      <w:color w:val="000000"/>
                      <w:sz w:val="21"/>
                      <w:szCs w:val="21"/>
                      <w:shd w:val="clear" w:color="auto" w:fill="FFFFFF"/>
                    </w:rPr>
                  </w:pPr>
                </w:p>
              </w:tc>
              <w:tc>
                <w:tcPr>
                  <w:tcW w:w="787" w:type="pct"/>
                  <w:noWrap w:val="0"/>
                  <w:vAlign w:val="center"/>
                </w:tcPr>
                <w:p>
                  <w:pPr>
                    <w:tabs>
                      <w:tab w:val="left" w:pos="5400"/>
                    </w:tabs>
                    <w:spacing w:after="0"/>
                    <w:ind w:left="-105" w:leftChars="-50" w:right="-105" w:rightChars="-50" w:firstLine="210" w:firstLineChars="100"/>
                    <w:jc w:val="center"/>
                    <w:rPr>
                      <w:rFonts w:hint="default" w:ascii="Times New Roman" w:hAnsi="Times New Roman"/>
                      <w:color w:val="000000"/>
                      <w:sz w:val="21"/>
                      <w:szCs w:val="21"/>
                      <w:shd w:val="clear" w:color="auto" w:fill="FFFFFF"/>
                      <w:lang w:val="en-US" w:eastAsia="zh-CN"/>
                    </w:rPr>
                  </w:pPr>
                  <w:r>
                    <w:rPr>
                      <w:rFonts w:hint="eastAsia"/>
                      <w:color w:val="000000"/>
                      <w:sz w:val="21"/>
                      <w:szCs w:val="21"/>
                      <w:shd w:val="clear" w:color="auto" w:fill="FFFFFF"/>
                      <w:lang w:val="en-US" w:eastAsia="zh-CN"/>
                    </w:rPr>
                    <w:t>0.62</w:t>
                  </w:r>
                </w:p>
              </w:tc>
              <w:tc>
                <w:tcPr>
                  <w:tcW w:w="607" w:type="pct"/>
                  <w:vMerge w:val="continue"/>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p>
              </w:tc>
              <w:tc>
                <w:tcPr>
                  <w:tcW w:w="583"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5000" w:type="pct"/>
                  <w:gridSpan w:val="7"/>
                  <w:noWrap w:val="0"/>
                  <w:vAlign w:val="center"/>
                </w:tcPr>
                <w:p>
                  <w:pPr>
                    <w:tabs>
                      <w:tab w:val="left" w:pos="5400"/>
                    </w:tabs>
                    <w:spacing w:after="0"/>
                    <w:ind w:left="-105" w:leftChars="-50" w:right="-105" w:rightChars="-50" w:firstLine="210" w:firstLineChars="100"/>
                    <w:jc w:val="center"/>
                    <w:rPr>
                      <w:rFonts w:hint="eastAsia" w:ascii="Times New Roman" w:hAnsi="Times New Roman"/>
                      <w:color w:val="000000"/>
                      <w:sz w:val="21"/>
                      <w:szCs w:val="21"/>
                      <w:shd w:val="clear" w:color="auto" w:fill="FFFFFF"/>
                    </w:rPr>
                  </w:pPr>
                  <w:r>
                    <w:rPr>
                      <w:rFonts w:hint="eastAsia" w:ascii="Times New Roman" w:hAnsi="Times New Roman"/>
                      <w:color w:val="000000"/>
                      <w:sz w:val="21"/>
                      <w:szCs w:val="21"/>
                      <w:shd w:val="clear" w:color="auto" w:fill="FFFFFF"/>
                    </w:rPr>
                    <w:t>执行标准：</w:t>
                  </w:r>
                  <w:r>
                    <w:rPr>
                      <w:rFonts w:hint="eastAsia" w:ascii="Times New Roman" w:hAnsi="Times New Roman" w:eastAsia="宋体" w:cs="Times New Roman"/>
                      <w:sz w:val="21"/>
                      <w:szCs w:val="21"/>
                      <w:lang w:val="en-US" w:eastAsia="zh-CN"/>
                    </w:rPr>
                    <w:t>《大气污染物综合排放标准》（GB 16297-1996）表2无组织浓度限值。</w:t>
                  </w:r>
                </w:p>
              </w:tc>
            </w:tr>
          </w:tbl>
          <w:p>
            <w:pPr>
              <w:pStyle w:val="86"/>
              <w:spacing w:line="360" w:lineRule="auto"/>
              <w:ind w:firstLineChars="200"/>
              <w:jc w:val="both"/>
              <w:rPr>
                <w:rFonts w:hint="eastAsia"/>
                <w:color w:val="000000" w:themeColor="text1"/>
                <w14:textFill>
                  <w14:solidFill>
                    <w14:schemeClr w14:val="tx1"/>
                  </w14:solidFill>
                </w14:textFill>
              </w:rPr>
            </w:pPr>
          </w:p>
          <w:p>
            <w:pPr>
              <w:pStyle w:val="86"/>
              <w:spacing w:line="360" w:lineRule="auto"/>
              <w:ind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由上表分析，</w:t>
            </w:r>
            <w:r>
              <w:rPr>
                <w:rFonts w:hint="eastAsia"/>
                <w:color w:val="000000" w:themeColor="text1"/>
                <w:lang w:val="en-US" w:eastAsia="zh-CN"/>
                <w14:textFill>
                  <w14:solidFill>
                    <w14:schemeClr w14:val="tx1"/>
                  </w14:solidFill>
                </w14:textFill>
              </w:rPr>
              <w:t>2月17日</w:t>
            </w:r>
            <w:r>
              <w:t>~</w:t>
            </w:r>
            <w:r>
              <w:rPr>
                <w:rFonts w:hint="eastAsia"/>
                <w:lang w:val="en-US" w:eastAsia="zh-CN"/>
              </w:rPr>
              <w:t>2月18日</w:t>
            </w:r>
            <w:r>
              <w:rPr>
                <w:rFonts w:hint="eastAsia"/>
              </w:rPr>
              <w:t>项目</w:t>
            </w:r>
            <w:r>
              <w:rPr>
                <w:rFonts w:hint="eastAsia"/>
                <w:lang w:val="en-US" w:eastAsia="zh-CN"/>
              </w:rPr>
              <w:t>有</w:t>
            </w:r>
            <w:r>
              <w:rPr>
                <w:rFonts w:hint="eastAsia"/>
              </w:rPr>
              <w:t>组织废气</w:t>
            </w:r>
            <w:r>
              <w:rPr>
                <w:rFonts w:hint="eastAsia"/>
                <w:lang w:val="en-US" w:eastAsia="zh-CN"/>
              </w:rPr>
              <w:t>非甲烷总烃</w:t>
            </w:r>
            <w:r>
              <w:rPr>
                <w:rFonts w:hint="eastAsia"/>
                <w:color w:val="000000" w:themeColor="text1"/>
                <w14:textFill>
                  <w14:solidFill>
                    <w14:schemeClr w14:val="tx1"/>
                  </w14:solidFill>
                </w14:textFill>
              </w:rPr>
              <w:t>排放范围</w:t>
            </w:r>
            <w:r>
              <w:rPr>
                <w:rFonts w:hint="eastAsia"/>
              </w:rPr>
              <w:t>在</w:t>
            </w:r>
            <w:r>
              <w:rPr>
                <w:rFonts w:hint="eastAsia"/>
                <w:lang w:val="en-US" w:eastAsia="zh-CN"/>
              </w:rPr>
              <w:t>4.16</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7.22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lang w:eastAsia="zh-CN"/>
                <w14:textFill>
                  <w14:solidFill>
                    <w14:schemeClr w14:val="tx1"/>
                  </w14:solidFill>
                </w14:textFill>
              </w:rPr>
              <w:t>，由</w:t>
            </w:r>
            <w:r>
              <w:rPr>
                <w:rFonts w:hint="eastAsia"/>
                <w:color w:val="000000" w:themeColor="text1"/>
                <w14:textFill>
                  <w14:solidFill>
                    <w14:schemeClr w14:val="tx1"/>
                  </w14:solidFill>
                </w14:textFill>
              </w:rPr>
              <w:t>此得出本项目</w:t>
            </w:r>
            <w:r>
              <w:rPr>
                <w:rFonts w:hint="eastAsia"/>
                <w:color w:val="000000" w:themeColor="text1"/>
                <w:lang w:val="en-US" w:eastAsia="zh-CN"/>
                <w14:textFill>
                  <w14:solidFill>
                    <w14:schemeClr w14:val="tx1"/>
                  </w14:solidFill>
                </w14:textFill>
              </w:rPr>
              <w:t>有</w:t>
            </w:r>
            <w:r>
              <w:rPr>
                <w:rFonts w:hint="eastAsia"/>
                <w:color w:val="000000" w:themeColor="text1"/>
                <w14:textFill>
                  <w14:solidFill>
                    <w14:schemeClr w14:val="tx1"/>
                  </w14:solidFill>
                </w14:textFill>
              </w:rPr>
              <w:t>组织废气满足《大气污染物综合排放标准》（GB 16297-1996）表2二级标准</w:t>
            </w:r>
            <w:r>
              <w:t>监控浓度限值</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2月17日</w:t>
            </w:r>
            <w:r>
              <w:t>~</w:t>
            </w:r>
            <w:r>
              <w:rPr>
                <w:rFonts w:hint="eastAsia"/>
                <w:lang w:val="en-US" w:eastAsia="zh-CN"/>
              </w:rPr>
              <w:t>2月18日</w:t>
            </w:r>
            <w:r>
              <w:rPr>
                <w:rFonts w:hint="eastAsia"/>
              </w:rPr>
              <w:t>项目</w:t>
            </w:r>
            <w:r>
              <w:rPr>
                <w:rFonts w:hint="eastAsia"/>
                <w:lang w:val="en-US" w:eastAsia="zh-CN"/>
              </w:rPr>
              <w:t>无</w:t>
            </w:r>
            <w:r>
              <w:rPr>
                <w:rFonts w:hint="eastAsia"/>
              </w:rPr>
              <w:t>组织废气</w:t>
            </w:r>
            <w:r>
              <w:rPr>
                <w:rFonts w:hint="eastAsia"/>
                <w:lang w:eastAsia="zh-CN"/>
              </w:rPr>
              <w:t>非甲烷总烃厂界</w:t>
            </w:r>
            <w:r>
              <w:rPr>
                <w:rFonts w:hint="eastAsia"/>
                <w:color w:val="000000" w:themeColor="text1"/>
                <w:lang w:eastAsia="zh-CN"/>
                <w14:textFill>
                  <w14:solidFill>
                    <w14:schemeClr w14:val="tx1"/>
                  </w14:solidFill>
                </w14:textFill>
              </w:rPr>
              <w:t>浓度</w:t>
            </w:r>
            <w:r>
              <w:rPr>
                <w:rFonts w:hint="eastAsia"/>
                <w:color w:val="000000" w:themeColor="text1"/>
                <w14:textFill>
                  <w14:solidFill>
                    <w14:schemeClr w14:val="tx1"/>
                  </w14:solidFill>
                </w14:textFill>
              </w:rPr>
              <w:t>范围</w:t>
            </w:r>
            <w:r>
              <w:rPr>
                <w:rFonts w:hint="eastAsia"/>
              </w:rPr>
              <w:t>在</w:t>
            </w:r>
            <w:r>
              <w:rPr>
                <w:rFonts w:hint="eastAsia"/>
                <w:color w:val="000000" w:themeColor="text1"/>
                <w:lang w:val="en-US" w:eastAsia="zh-CN"/>
                <w14:textFill>
                  <w14:solidFill>
                    <w14:schemeClr w14:val="tx1"/>
                  </w14:solidFill>
                </w14:textFill>
              </w:rPr>
              <w:t>0.62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1.01</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vertAlign w:val="baseline"/>
                <w:lang w:eastAsia="zh-CN"/>
                <w14:textFill>
                  <w14:solidFill>
                    <w14:schemeClr w14:val="tx1"/>
                  </w14:solidFill>
                </w14:textFill>
              </w:rPr>
              <w:t>，</w:t>
            </w:r>
            <w:r>
              <w:rPr>
                <w:rFonts w:hint="eastAsia"/>
                <w:color w:val="000000" w:themeColor="text1"/>
                <w14:textFill>
                  <w14:solidFill>
                    <w14:schemeClr w14:val="tx1"/>
                  </w14:solidFill>
                </w14:textFill>
              </w:rPr>
              <w:t>由此得出本项目</w:t>
            </w:r>
            <w:r>
              <w:rPr>
                <w:rFonts w:hint="eastAsia"/>
                <w:color w:val="000000" w:themeColor="text1"/>
                <w:lang w:val="en-US" w:eastAsia="zh-CN"/>
                <w14:textFill>
                  <w14:solidFill>
                    <w14:schemeClr w14:val="tx1"/>
                  </w14:solidFill>
                </w14:textFill>
              </w:rPr>
              <w:t>无</w:t>
            </w:r>
            <w:r>
              <w:rPr>
                <w:rFonts w:hint="eastAsia"/>
                <w:color w:val="000000" w:themeColor="text1"/>
                <w14:textFill>
                  <w14:solidFill>
                    <w14:schemeClr w14:val="tx1"/>
                  </w14:solidFill>
                </w14:textFill>
              </w:rPr>
              <w:t>组织废气满足《大气污染物综合排放标准》（GB 16297-1996）表2无组织排放限值。</w:t>
            </w:r>
          </w:p>
          <w:p>
            <w:pPr>
              <w:pStyle w:val="7"/>
              <w:rPr>
                <w:rFonts w:hint="eastAsia"/>
              </w:rPr>
            </w:pPr>
            <w:r>
              <w:rPr>
                <w:rFonts w:hint="eastAsia"/>
              </w:rPr>
              <w:t>厂界噪声</w:t>
            </w:r>
          </w:p>
          <w:p>
            <w:pPr>
              <w:spacing w:line="360" w:lineRule="auto"/>
              <w:ind w:firstLine="480" w:firstLineChars="200"/>
              <w:rPr>
                <w:bCs/>
                <w:sz w:val="24"/>
              </w:rPr>
            </w:pPr>
            <w:r>
              <w:rPr>
                <w:bCs/>
                <w:sz w:val="24"/>
              </w:rPr>
              <w:t>厂界噪声检测情况具体见表7.2-</w:t>
            </w:r>
            <w:r>
              <w:rPr>
                <w:rFonts w:hint="eastAsia"/>
                <w:bCs/>
                <w:sz w:val="24"/>
                <w:lang w:val="en-US" w:eastAsia="zh-CN"/>
              </w:rPr>
              <w:t>3</w:t>
            </w:r>
            <w:r>
              <w:rPr>
                <w:bCs/>
                <w:sz w:val="24"/>
              </w:rPr>
              <w:t>。</w:t>
            </w:r>
          </w:p>
          <w:p>
            <w:pPr>
              <w:pStyle w:val="86"/>
              <w:spacing w:line="360" w:lineRule="auto"/>
              <w:ind w:firstLine="2409" w:firstLineChars="1000"/>
              <w:rPr>
                <w:rFonts w:hint="eastAsia"/>
                <w:b/>
              </w:rPr>
            </w:pPr>
            <w:r>
              <w:rPr>
                <w:rFonts w:hint="eastAsia"/>
                <w:b/>
              </w:rPr>
              <w:t>表</w:t>
            </w:r>
            <w:r>
              <w:rPr>
                <w:rFonts w:hint="eastAsia"/>
                <w:b/>
              </w:rPr>
              <w:fldChar w:fldCharType="begin"/>
            </w:r>
            <w:r>
              <w:rPr>
                <w:rFonts w:hint="eastAsia"/>
                <w:b/>
              </w:rPr>
              <w:instrText xml:space="preserve"> STYLEREF 2 \s </w:instrText>
            </w:r>
            <w:r>
              <w:rPr>
                <w:rFonts w:hint="eastAsia"/>
                <w:b/>
              </w:rPr>
              <w:fldChar w:fldCharType="separate"/>
            </w:r>
            <w:r>
              <w:rPr>
                <w:rFonts w:hint="eastAsia"/>
                <w:b/>
              </w:rPr>
              <w:t>7.2</w:t>
            </w:r>
            <w:r>
              <w:rPr>
                <w:rFonts w:hint="eastAsia"/>
                <w:b/>
              </w:rPr>
              <w:fldChar w:fldCharType="end"/>
            </w:r>
            <w:r>
              <w:rPr>
                <w:rFonts w:hint="eastAsia"/>
                <w:b/>
              </w:rPr>
              <w:t>-</w:t>
            </w:r>
            <w:r>
              <w:rPr>
                <w:rFonts w:hint="eastAsia"/>
                <w:b/>
                <w:lang w:val="en-US" w:eastAsia="zh-CN"/>
              </w:rPr>
              <w:t>3</w:t>
            </w:r>
            <w:r>
              <w:rPr>
                <w:rFonts w:hint="eastAsia"/>
                <w:b/>
              </w:rPr>
              <w:t xml:space="preserve"> 工业企业厂界噪声监测结果一览表</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239"/>
              <w:gridCol w:w="1982"/>
              <w:gridCol w:w="1263"/>
              <w:gridCol w:w="1171"/>
              <w:gridCol w:w="1377"/>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16" w:type="pct"/>
                  <w:vMerge w:val="restart"/>
                  <w:noWrap w:val="0"/>
                  <w:vAlign w:val="center"/>
                </w:tcPr>
                <w:p>
                  <w:pPr>
                    <w:pStyle w:val="104"/>
                    <w:jc w:val="center"/>
                    <w:rPr>
                      <w:rFonts w:hint="eastAsia" w:ascii="宋体" w:hAnsi="宋体"/>
                      <w:b/>
                      <w:sz w:val="21"/>
                      <w:szCs w:val="21"/>
                    </w:rPr>
                  </w:pPr>
                  <w:r>
                    <w:rPr>
                      <w:rFonts w:hint="eastAsia" w:ascii="宋体" w:hAnsi="宋体" w:cs="宋体"/>
                      <w:sz w:val="21"/>
                      <w:szCs w:val="21"/>
                    </w:rPr>
                    <w:t>序号</w:t>
                  </w:r>
                </w:p>
              </w:tc>
              <w:tc>
                <w:tcPr>
                  <w:tcW w:w="692" w:type="pct"/>
                  <w:vMerge w:val="restart"/>
                  <w:noWrap w:val="0"/>
                  <w:vAlign w:val="center"/>
                </w:tcPr>
                <w:p>
                  <w:pPr>
                    <w:pStyle w:val="104"/>
                    <w:jc w:val="center"/>
                    <w:rPr>
                      <w:rFonts w:hint="eastAsia" w:ascii="宋体" w:hAnsi="宋体"/>
                      <w:sz w:val="21"/>
                      <w:szCs w:val="21"/>
                    </w:rPr>
                  </w:pPr>
                  <w:r>
                    <w:rPr>
                      <w:rFonts w:hint="eastAsia" w:ascii="宋体" w:hAnsi="宋体"/>
                      <w:sz w:val="21"/>
                      <w:szCs w:val="21"/>
                    </w:rPr>
                    <w:t>检测日期</w:t>
                  </w:r>
                </w:p>
              </w:tc>
              <w:tc>
                <w:tcPr>
                  <w:tcW w:w="1106" w:type="pct"/>
                  <w:vMerge w:val="restart"/>
                  <w:noWrap w:val="0"/>
                  <w:vAlign w:val="center"/>
                </w:tcPr>
                <w:p>
                  <w:pPr>
                    <w:pStyle w:val="104"/>
                    <w:jc w:val="center"/>
                    <w:rPr>
                      <w:rFonts w:hint="eastAsia" w:ascii="宋体" w:hAnsi="宋体"/>
                      <w:sz w:val="21"/>
                      <w:szCs w:val="21"/>
                    </w:rPr>
                  </w:pPr>
                  <w:r>
                    <w:rPr>
                      <w:rFonts w:hint="eastAsia" w:ascii="宋体" w:hAnsi="宋体" w:cs="宋体"/>
                      <w:sz w:val="21"/>
                      <w:szCs w:val="21"/>
                    </w:rPr>
                    <w:t>检测点位置</w:t>
                  </w:r>
                </w:p>
              </w:tc>
              <w:tc>
                <w:tcPr>
                  <w:tcW w:w="1359" w:type="pct"/>
                  <w:gridSpan w:val="2"/>
                  <w:noWrap w:val="0"/>
                  <w:vAlign w:val="center"/>
                </w:tcPr>
                <w:p>
                  <w:pPr>
                    <w:tabs>
                      <w:tab w:val="left" w:pos="5400"/>
                    </w:tabs>
                    <w:spacing w:after="0"/>
                    <w:jc w:val="center"/>
                    <w:rPr>
                      <w:rFonts w:hint="eastAsia" w:ascii="宋体" w:hAnsi="宋体"/>
                      <w:b/>
                      <w:sz w:val="21"/>
                      <w:szCs w:val="21"/>
                    </w:rPr>
                  </w:pPr>
                  <w:r>
                    <w:rPr>
                      <w:rFonts w:hint="eastAsia" w:ascii="Times New Roman" w:hAnsi="宋体" w:cs="宋体"/>
                      <w:sz w:val="21"/>
                      <w:szCs w:val="21"/>
                    </w:rPr>
                    <w:t>昼间L</w:t>
                  </w:r>
                  <w:r>
                    <w:rPr>
                      <w:rFonts w:ascii="Times New Roman" w:hAnsi="Times New Roman"/>
                      <w:sz w:val="21"/>
                      <w:szCs w:val="21"/>
                    </w:rPr>
                    <w:t>eq dB</w:t>
                  </w:r>
                  <w:r>
                    <w:rPr>
                      <w:rFonts w:hint="eastAsia" w:ascii="Times New Roman" w:hAnsi="宋体" w:cs="宋体"/>
                      <w:sz w:val="21"/>
                      <w:szCs w:val="21"/>
                    </w:rPr>
                    <w:t>（</w:t>
                  </w:r>
                  <w:r>
                    <w:rPr>
                      <w:rFonts w:ascii="Times New Roman" w:hAnsi="Times New Roman"/>
                      <w:sz w:val="21"/>
                      <w:szCs w:val="21"/>
                    </w:rPr>
                    <w:t>A</w:t>
                  </w:r>
                  <w:r>
                    <w:rPr>
                      <w:rFonts w:hint="eastAsia" w:ascii="Times New Roman" w:hAnsi="宋体" w:cs="宋体"/>
                      <w:sz w:val="21"/>
                      <w:szCs w:val="21"/>
                    </w:rPr>
                    <w:t>）</w:t>
                  </w:r>
                </w:p>
              </w:tc>
              <w:tc>
                <w:tcPr>
                  <w:tcW w:w="1424" w:type="pct"/>
                  <w:gridSpan w:val="2"/>
                  <w:noWrap w:val="0"/>
                  <w:vAlign w:val="center"/>
                </w:tcPr>
                <w:p>
                  <w:pPr>
                    <w:tabs>
                      <w:tab w:val="left" w:pos="5400"/>
                    </w:tabs>
                    <w:spacing w:after="0"/>
                    <w:jc w:val="center"/>
                    <w:rPr>
                      <w:rFonts w:hint="eastAsia" w:ascii="宋体" w:hAnsi="宋体"/>
                      <w:b/>
                      <w:sz w:val="21"/>
                      <w:szCs w:val="21"/>
                    </w:rPr>
                  </w:pPr>
                  <w:r>
                    <w:rPr>
                      <w:rFonts w:hint="eastAsia" w:ascii="Times New Roman" w:hAnsi="宋体" w:cs="宋体"/>
                      <w:sz w:val="21"/>
                      <w:szCs w:val="21"/>
                    </w:rPr>
                    <w:t>昼间L</w:t>
                  </w:r>
                  <w:r>
                    <w:rPr>
                      <w:rFonts w:ascii="Times New Roman" w:hAnsi="Times New Roman"/>
                      <w:sz w:val="21"/>
                      <w:szCs w:val="21"/>
                    </w:rPr>
                    <w:t>eq dB</w:t>
                  </w:r>
                  <w:r>
                    <w:rPr>
                      <w:rFonts w:hint="eastAsia" w:ascii="Times New Roman" w:hAnsi="宋体" w:cs="宋体"/>
                      <w:sz w:val="21"/>
                      <w:szCs w:val="21"/>
                    </w:rPr>
                    <w:t>（</w:t>
                  </w:r>
                  <w:r>
                    <w:rPr>
                      <w:rFonts w:ascii="Times New Roman" w:hAnsi="Times New Roman"/>
                      <w:sz w:val="21"/>
                      <w:szCs w:val="21"/>
                    </w:rPr>
                    <w:t>A</w:t>
                  </w:r>
                  <w:r>
                    <w:rPr>
                      <w:rFonts w:hint="eastAsia" w:ascii="Times New Roman"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16" w:type="pct"/>
                  <w:vMerge w:val="continue"/>
                  <w:noWrap w:val="0"/>
                  <w:vAlign w:val="top"/>
                </w:tcPr>
                <w:p>
                  <w:pPr>
                    <w:tabs>
                      <w:tab w:val="left" w:pos="5400"/>
                    </w:tabs>
                    <w:spacing w:after="0"/>
                    <w:jc w:val="both"/>
                    <w:rPr>
                      <w:sz w:val="21"/>
                      <w:szCs w:val="21"/>
                    </w:rPr>
                  </w:pPr>
                </w:p>
              </w:tc>
              <w:tc>
                <w:tcPr>
                  <w:tcW w:w="692" w:type="pct"/>
                  <w:vMerge w:val="continue"/>
                  <w:noWrap w:val="0"/>
                  <w:vAlign w:val="top"/>
                </w:tcPr>
                <w:p>
                  <w:pPr>
                    <w:tabs>
                      <w:tab w:val="left" w:pos="5400"/>
                    </w:tabs>
                    <w:spacing w:after="0"/>
                    <w:jc w:val="both"/>
                    <w:rPr>
                      <w:sz w:val="21"/>
                      <w:szCs w:val="21"/>
                    </w:rPr>
                  </w:pPr>
                </w:p>
              </w:tc>
              <w:tc>
                <w:tcPr>
                  <w:tcW w:w="1106" w:type="pct"/>
                  <w:vMerge w:val="continue"/>
                  <w:noWrap w:val="0"/>
                  <w:vAlign w:val="top"/>
                </w:tcPr>
                <w:p>
                  <w:pPr>
                    <w:tabs>
                      <w:tab w:val="left" w:pos="5400"/>
                    </w:tabs>
                    <w:spacing w:after="0"/>
                    <w:jc w:val="both"/>
                    <w:rPr>
                      <w:sz w:val="21"/>
                      <w:szCs w:val="21"/>
                    </w:rPr>
                  </w:pPr>
                </w:p>
              </w:tc>
              <w:tc>
                <w:tcPr>
                  <w:tcW w:w="705" w:type="pct"/>
                  <w:noWrap w:val="0"/>
                  <w:vAlign w:val="center"/>
                </w:tcPr>
                <w:p>
                  <w:pPr>
                    <w:pStyle w:val="104"/>
                    <w:jc w:val="center"/>
                    <w:rPr>
                      <w:rFonts w:ascii="宋体" w:hAnsi="宋体"/>
                      <w:b/>
                      <w:sz w:val="21"/>
                      <w:szCs w:val="21"/>
                    </w:rPr>
                  </w:pPr>
                  <w:r>
                    <w:rPr>
                      <w:rFonts w:hint="eastAsia" w:ascii="宋体" w:hAnsi="宋体" w:cs="宋体"/>
                      <w:sz w:val="21"/>
                      <w:szCs w:val="21"/>
                    </w:rPr>
                    <w:t>测量时间</w:t>
                  </w:r>
                </w:p>
              </w:tc>
              <w:tc>
                <w:tcPr>
                  <w:tcW w:w="654" w:type="pct"/>
                  <w:noWrap w:val="0"/>
                  <w:vAlign w:val="center"/>
                </w:tcPr>
                <w:p>
                  <w:pPr>
                    <w:pStyle w:val="104"/>
                    <w:jc w:val="center"/>
                    <w:rPr>
                      <w:rFonts w:hint="eastAsia" w:ascii="宋体" w:hAnsi="宋体"/>
                      <w:b/>
                      <w:sz w:val="21"/>
                      <w:szCs w:val="21"/>
                    </w:rPr>
                  </w:pPr>
                  <w:r>
                    <w:rPr>
                      <w:rFonts w:hint="eastAsia" w:ascii="Times New Roman" w:hAnsi="宋体" w:cs="宋体"/>
                      <w:sz w:val="21"/>
                      <w:szCs w:val="21"/>
                    </w:rPr>
                    <w:t>测量结果</w:t>
                  </w:r>
                </w:p>
              </w:tc>
              <w:tc>
                <w:tcPr>
                  <w:tcW w:w="769" w:type="pct"/>
                  <w:noWrap w:val="0"/>
                  <w:vAlign w:val="center"/>
                </w:tcPr>
                <w:p>
                  <w:pPr>
                    <w:pStyle w:val="104"/>
                    <w:jc w:val="center"/>
                    <w:rPr>
                      <w:rFonts w:ascii="宋体" w:hAnsi="宋体"/>
                      <w:b/>
                      <w:sz w:val="21"/>
                      <w:szCs w:val="21"/>
                    </w:rPr>
                  </w:pPr>
                  <w:r>
                    <w:rPr>
                      <w:rFonts w:hint="eastAsia" w:ascii="宋体" w:hAnsi="宋体" w:cs="宋体"/>
                      <w:sz w:val="21"/>
                      <w:szCs w:val="21"/>
                    </w:rPr>
                    <w:t>测量时间</w:t>
                  </w:r>
                </w:p>
              </w:tc>
              <w:tc>
                <w:tcPr>
                  <w:tcW w:w="654" w:type="pct"/>
                  <w:noWrap w:val="0"/>
                  <w:vAlign w:val="center"/>
                </w:tcPr>
                <w:p>
                  <w:pPr>
                    <w:pStyle w:val="104"/>
                    <w:jc w:val="center"/>
                    <w:rPr>
                      <w:rFonts w:hint="eastAsia" w:ascii="宋体" w:hAnsi="宋体"/>
                      <w:b/>
                      <w:sz w:val="21"/>
                      <w:szCs w:val="21"/>
                    </w:rPr>
                  </w:pPr>
                  <w:r>
                    <w:rPr>
                      <w:rFonts w:hint="eastAsia" w:ascii="Times New Roman" w:hAnsi="宋体" w:cs="宋体"/>
                      <w:sz w:val="21"/>
                      <w:szCs w:val="21"/>
                    </w:rPr>
                    <w:t>测量结果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16" w:type="pct"/>
                  <w:vMerge w:val="restart"/>
                  <w:noWrap w:val="0"/>
                  <w:vAlign w:val="center"/>
                </w:tcPr>
                <w:p>
                  <w:pPr>
                    <w:pStyle w:val="104"/>
                    <w:jc w:val="center"/>
                    <w:rPr>
                      <w:rFonts w:ascii="Times New Roman" w:hAnsi="Times New Roman"/>
                      <w:sz w:val="21"/>
                      <w:szCs w:val="21"/>
                    </w:rPr>
                  </w:pPr>
                  <w:r>
                    <w:rPr>
                      <w:rFonts w:ascii="Times New Roman" w:hAnsi="Times New Roman"/>
                      <w:sz w:val="21"/>
                      <w:szCs w:val="21"/>
                    </w:rPr>
                    <w:t>1</w:t>
                  </w:r>
                </w:p>
              </w:tc>
              <w:tc>
                <w:tcPr>
                  <w:tcW w:w="692" w:type="pct"/>
                  <w:vMerge w:val="restart"/>
                  <w:noWrap w:val="0"/>
                  <w:vAlign w:val="center"/>
                </w:tcPr>
                <w:p>
                  <w:pPr>
                    <w:pStyle w:val="104"/>
                    <w:jc w:val="center"/>
                    <w:rPr>
                      <w:rFonts w:hint="eastAsia" w:ascii="Times New Roman" w:hAnsi="Times New Roman" w:eastAsia="宋体"/>
                      <w:sz w:val="21"/>
                      <w:szCs w:val="21"/>
                      <w:lang w:val="en-US" w:eastAsia="zh-CN"/>
                    </w:rPr>
                  </w:pPr>
                  <w:r>
                    <w:rPr>
                      <w:rFonts w:hint="eastAsia" w:ascii="Times New Roman" w:hAnsi="Times New Roman"/>
                      <w:sz w:val="21"/>
                      <w:szCs w:val="21"/>
                      <w:lang w:eastAsia="zh-CN"/>
                    </w:rPr>
                    <w:t>2022.2.17</w:t>
                  </w:r>
                </w:p>
              </w:tc>
              <w:tc>
                <w:tcPr>
                  <w:tcW w:w="1982" w:type="dxa"/>
                  <w:noWrap w:val="0"/>
                  <w:vAlign w:val="center"/>
                </w:tcPr>
                <w:p>
                  <w:pPr>
                    <w:pStyle w:val="104"/>
                    <w:jc w:val="center"/>
                    <w:rPr>
                      <w:rFonts w:ascii="Times New Roman" w:hAnsi="Times New Roman"/>
                      <w:sz w:val="21"/>
                      <w:szCs w:val="21"/>
                    </w:rPr>
                  </w:pPr>
                  <w:r>
                    <w:rPr>
                      <w:rFonts w:hint="default" w:ascii="Times New Roman" w:hAnsi="Times New Roman" w:cs="Times New Roman" w:eastAsiaTheme="minorEastAsia"/>
                      <w:sz w:val="21"/>
                      <w:szCs w:val="21"/>
                    </w:rPr>
                    <w:t>厂界东</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rPr>
                    <w:t>#）</w:t>
                  </w:r>
                </w:p>
              </w:tc>
              <w:tc>
                <w:tcPr>
                  <w:tcW w:w="705" w:type="pct"/>
                  <w:vMerge w:val="restart"/>
                  <w:noWrap w:val="0"/>
                  <w:vAlign w:val="center"/>
                </w:tcPr>
                <w:p>
                  <w:pPr>
                    <w:pStyle w:val="104"/>
                    <w:jc w:val="center"/>
                    <w:rPr>
                      <w:rFonts w:hint="default" w:ascii="Times New Roman" w:hAnsi="Times New Roman" w:cs="Times New Roman"/>
                      <w:sz w:val="21"/>
                      <w:szCs w:val="21"/>
                      <w:lang w:val="en-US"/>
                    </w:rPr>
                  </w:pPr>
                  <w:r>
                    <w:rPr>
                      <w:rFonts w:hint="eastAsia" w:ascii="Times New Roman" w:hAnsi="Times New Roman" w:cs="Times New Roman" w:eastAsiaTheme="minorEastAsia"/>
                      <w:sz w:val="21"/>
                      <w:szCs w:val="21"/>
                      <w:lang w:val="en-US" w:eastAsia="zh-CN"/>
                    </w:rPr>
                    <w:t>9:05-9:25</w:t>
                  </w:r>
                </w:p>
              </w:tc>
              <w:tc>
                <w:tcPr>
                  <w:tcW w:w="1171" w:type="dxa"/>
                  <w:noWrap w:val="0"/>
                  <w:vAlign w:val="center"/>
                </w:tcPr>
                <w:p>
                  <w:pPr>
                    <w:pStyle w:val="104"/>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sz w:val="21"/>
                      <w:szCs w:val="21"/>
                      <w:lang w:val="en-US" w:eastAsia="zh-CN"/>
                    </w:rPr>
                    <w:t>55.4</w:t>
                  </w:r>
                </w:p>
              </w:tc>
              <w:tc>
                <w:tcPr>
                  <w:tcW w:w="1377" w:type="dxa"/>
                  <w:vMerge w:val="restart"/>
                  <w:noWrap w:val="0"/>
                  <w:vAlign w:val="center"/>
                </w:tcPr>
                <w:p>
                  <w:pPr>
                    <w:pStyle w:val="104"/>
                    <w:jc w:val="center"/>
                    <w:rPr>
                      <w:rFonts w:hint="default" w:ascii="Times New Roman" w:hAnsi="Times New Roman" w:eastAsia="宋体"/>
                      <w:bCs/>
                      <w:sz w:val="21"/>
                      <w:szCs w:val="21"/>
                      <w:lang w:val="en-US" w:eastAsia="zh-CN"/>
                    </w:rPr>
                  </w:pPr>
                  <w:r>
                    <w:rPr>
                      <w:rFonts w:hint="eastAsia" w:ascii="Times New Roman" w:hAnsi="Times New Roman" w:cs="Times New Roman" w:eastAsiaTheme="minorEastAsia"/>
                      <w:sz w:val="21"/>
                      <w:szCs w:val="21"/>
                      <w:lang w:val="en-US" w:eastAsia="zh-CN"/>
                    </w:rPr>
                    <w:t>22:03-22:22</w:t>
                  </w:r>
                </w:p>
              </w:tc>
              <w:tc>
                <w:tcPr>
                  <w:tcW w:w="1175"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16" w:type="pct"/>
                  <w:vMerge w:val="continue"/>
                  <w:noWrap w:val="0"/>
                  <w:vAlign w:val="center"/>
                </w:tcPr>
                <w:p>
                  <w:pPr>
                    <w:pStyle w:val="104"/>
                    <w:jc w:val="center"/>
                    <w:rPr>
                      <w:rFonts w:ascii="Times New Roman" w:hAnsi="Times New Roman"/>
                      <w:sz w:val="21"/>
                      <w:szCs w:val="21"/>
                    </w:rPr>
                  </w:pPr>
                </w:p>
              </w:tc>
              <w:tc>
                <w:tcPr>
                  <w:tcW w:w="692" w:type="pct"/>
                  <w:vMerge w:val="continue"/>
                  <w:noWrap w:val="0"/>
                  <w:vAlign w:val="center"/>
                </w:tcPr>
                <w:p>
                  <w:pPr>
                    <w:pStyle w:val="104"/>
                    <w:jc w:val="center"/>
                    <w:rPr>
                      <w:rFonts w:hint="eastAsia" w:ascii="宋体" w:hAnsi="宋体"/>
                      <w:sz w:val="21"/>
                      <w:szCs w:val="21"/>
                    </w:rPr>
                  </w:pPr>
                </w:p>
              </w:tc>
              <w:tc>
                <w:tcPr>
                  <w:tcW w:w="1982" w:type="dxa"/>
                  <w:noWrap w:val="0"/>
                  <w:vAlign w:val="center"/>
                </w:tcPr>
                <w:p>
                  <w:pPr>
                    <w:pStyle w:val="104"/>
                    <w:jc w:val="center"/>
                    <w:rPr>
                      <w:rFonts w:ascii="Times New Roman" w:hAnsi="Times New Roman"/>
                      <w:sz w:val="21"/>
                      <w:szCs w:val="21"/>
                    </w:rPr>
                  </w:pPr>
                  <w:r>
                    <w:rPr>
                      <w:rFonts w:hint="default" w:ascii="Times New Roman" w:hAnsi="Times New Roman" w:cs="Times New Roman" w:eastAsiaTheme="minorEastAsia"/>
                      <w:sz w:val="21"/>
                      <w:szCs w:val="21"/>
                    </w:rPr>
                    <w:t>厂界南</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rPr>
                    <w:t>#）</w:t>
                  </w:r>
                </w:p>
              </w:tc>
              <w:tc>
                <w:tcPr>
                  <w:tcW w:w="705" w:type="pct"/>
                  <w:vMerge w:val="continue"/>
                  <w:noWrap w:val="0"/>
                  <w:vAlign w:val="center"/>
                </w:tcPr>
                <w:p>
                  <w:pPr>
                    <w:pStyle w:val="104"/>
                    <w:jc w:val="center"/>
                    <w:rPr>
                      <w:rFonts w:hint="eastAsia" w:ascii="Times New Roman" w:hAnsi="Times New Roman" w:cs="Times New Roman"/>
                      <w:sz w:val="21"/>
                      <w:szCs w:val="21"/>
                    </w:rPr>
                  </w:pPr>
                </w:p>
              </w:tc>
              <w:tc>
                <w:tcPr>
                  <w:tcW w:w="1171" w:type="dxa"/>
                  <w:noWrap w:val="0"/>
                  <w:vAlign w:val="center"/>
                </w:tcPr>
                <w:p>
                  <w:pPr>
                    <w:pStyle w:val="104"/>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sz w:val="21"/>
                      <w:szCs w:val="21"/>
                      <w:lang w:val="en-US" w:eastAsia="zh-CN"/>
                    </w:rPr>
                    <w:t>56.3</w:t>
                  </w:r>
                </w:p>
              </w:tc>
              <w:tc>
                <w:tcPr>
                  <w:tcW w:w="1377" w:type="dxa"/>
                  <w:vMerge w:val="continue"/>
                  <w:noWrap w:val="0"/>
                  <w:vAlign w:val="center"/>
                </w:tcPr>
                <w:p>
                  <w:pPr>
                    <w:pStyle w:val="104"/>
                    <w:jc w:val="center"/>
                    <w:rPr>
                      <w:rFonts w:ascii="Times New Roman" w:hAnsi="Times New Roman"/>
                      <w:bCs/>
                      <w:sz w:val="21"/>
                      <w:szCs w:val="21"/>
                    </w:rPr>
                  </w:pPr>
                </w:p>
              </w:tc>
              <w:tc>
                <w:tcPr>
                  <w:tcW w:w="1175"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16" w:type="pct"/>
                  <w:vMerge w:val="continue"/>
                  <w:noWrap w:val="0"/>
                  <w:vAlign w:val="center"/>
                </w:tcPr>
                <w:p>
                  <w:pPr>
                    <w:pStyle w:val="104"/>
                    <w:jc w:val="center"/>
                    <w:rPr>
                      <w:rFonts w:ascii="Times New Roman" w:hAnsi="Times New Roman"/>
                      <w:sz w:val="21"/>
                      <w:szCs w:val="21"/>
                    </w:rPr>
                  </w:pPr>
                </w:p>
              </w:tc>
              <w:tc>
                <w:tcPr>
                  <w:tcW w:w="692" w:type="pct"/>
                  <w:vMerge w:val="continue"/>
                  <w:noWrap w:val="0"/>
                  <w:vAlign w:val="center"/>
                </w:tcPr>
                <w:p>
                  <w:pPr>
                    <w:pStyle w:val="104"/>
                    <w:jc w:val="center"/>
                    <w:rPr>
                      <w:rFonts w:hint="eastAsia" w:ascii="宋体" w:hAnsi="宋体"/>
                      <w:sz w:val="21"/>
                      <w:szCs w:val="21"/>
                    </w:rPr>
                  </w:pPr>
                </w:p>
              </w:tc>
              <w:tc>
                <w:tcPr>
                  <w:tcW w:w="1982" w:type="dxa"/>
                  <w:noWrap w:val="0"/>
                  <w:vAlign w:val="center"/>
                </w:tcPr>
                <w:p>
                  <w:pPr>
                    <w:pStyle w:val="104"/>
                    <w:jc w:val="center"/>
                    <w:rPr>
                      <w:rFonts w:ascii="Times New Roman" w:hAnsi="Times New Roman"/>
                      <w:sz w:val="21"/>
                      <w:szCs w:val="21"/>
                    </w:rPr>
                  </w:pPr>
                  <w:r>
                    <w:rPr>
                      <w:rFonts w:hint="default" w:ascii="Times New Roman" w:hAnsi="Times New Roman" w:cs="Times New Roman" w:eastAsiaTheme="minorEastAsia"/>
                      <w:sz w:val="21"/>
                      <w:szCs w:val="21"/>
                    </w:rPr>
                    <w:t>厂界西</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rPr>
                    <w:t>#）</w:t>
                  </w:r>
                </w:p>
              </w:tc>
              <w:tc>
                <w:tcPr>
                  <w:tcW w:w="705" w:type="pct"/>
                  <w:vMerge w:val="continue"/>
                  <w:noWrap w:val="0"/>
                  <w:vAlign w:val="center"/>
                </w:tcPr>
                <w:p>
                  <w:pPr>
                    <w:pStyle w:val="104"/>
                    <w:jc w:val="center"/>
                    <w:rPr>
                      <w:rFonts w:hint="eastAsia" w:ascii="Times New Roman" w:hAnsi="Times New Roman" w:cs="Times New Roman"/>
                      <w:sz w:val="21"/>
                      <w:szCs w:val="21"/>
                    </w:rPr>
                  </w:pPr>
                </w:p>
              </w:tc>
              <w:tc>
                <w:tcPr>
                  <w:tcW w:w="1171" w:type="dxa"/>
                  <w:noWrap w:val="0"/>
                  <w:vAlign w:val="center"/>
                </w:tcPr>
                <w:p>
                  <w:pPr>
                    <w:pStyle w:val="104"/>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sz w:val="21"/>
                      <w:szCs w:val="21"/>
                      <w:lang w:val="en-US" w:eastAsia="zh-CN"/>
                    </w:rPr>
                    <w:t>56.7</w:t>
                  </w:r>
                </w:p>
              </w:tc>
              <w:tc>
                <w:tcPr>
                  <w:tcW w:w="1377" w:type="dxa"/>
                  <w:vMerge w:val="continue"/>
                  <w:noWrap w:val="0"/>
                  <w:vAlign w:val="center"/>
                </w:tcPr>
                <w:p>
                  <w:pPr>
                    <w:pStyle w:val="104"/>
                    <w:jc w:val="center"/>
                    <w:rPr>
                      <w:rFonts w:ascii="Times New Roman" w:hAnsi="Times New Roman"/>
                      <w:bCs/>
                      <w:sz w:val="21"/>
                      <w:szCs w:val="21"/>
                    </w:rPr>
                  </w:pPr>
                </w:p>
              </w:tc>
              <w:tc>
                <w:tcPr>
                  <w:tcW w:w="1175"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continue"/>
                  <w:noWrap w:val="0"/>
                  <w:vAlign w:val="center"/>
                </w:tcPr>
                <w:p>
                  <w:pPr>
                    <w:pStyle w:val="104"/>
                    <w:jc w:val="center"/>
                    <w:rPr>
                      <w:rFonts w:ascii="Times New Roman" w:hAnsi="Times New Roman"/>
                      <w:sz w:val="21"/>
                      <w:szCs w:val="21"/>
                    </w:rPr>
                  </w:pPr>
                </w:p>
              </w:tc>
              <w:tc>
                <w:tcPr>
                  <w:tcW w:w="692" w:type="pct"/>
                  <w:vMerge w:val="continue"/>
                  <w:noWrap w:val="0"/>
                  <w:vAlign w:val="center"/>
                </w:tcPr>
                <w:p>
                  <w:pPr>
                    <w:pStyle w:val="104"/>
                    <w:jc w:val="center"/>
                    <w:rPr>
                      <w:rFonts w:hint="eastAsia" w:ascii="宋体" w:hAnsi="宋体"/>
                      <w:sz w:val="21"/>
                      <w:szCs w:val="21"/>
                    </w:rPr>
                  </w:pPr>
                </w:p>
              </w:tc>
              <w:tc>
                <w:tcPr>
                  <w:tcW w:w="1982" w:type="dxa"/>
                  <w:noWrap w:val="0"/>
                  <w:vAlign w:val="center"/>
                </w:tcPr>
                <w:p>
                  <w:pPr>
                    <w:pStyle w:val="104"/>
                    <w:jc w:val="center"/>
                    <w:rPr>
                      <w:rFonts w:ascii="Times New Roman" w:hAnsi="Times New Roman"/>
                      <w:sz w:val="21"/>
                      <w:szCs w:val="21"/>
                    </w:rPr>
                  </w:pPr>
                  <w:r>
                    <w:rPr>
                      <w:rFonts w:hint="default" w:ascii="Times New Roman" w:hAnsi="Times New Roman" w:cs="Times New Roman" w:eastAsiaTheme="minorEastAsia"/>
                      <w:sz w:val="21"/>
                      <w:szCs w:val="21"/>
                    </w:rPr>
                    <w:t>厂界北</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9</w:t>
                  </w:r>
                  <w:r>
                    <w:rPr>
                      <w:rFonts w:hint="default" w:ascii="Times New Roman" w:hAnsi="Times New Roman" w:cs="Times New Roman" w:eastAsiaTheme="minorEastAsia"/>
                      <w:sz w:val="21"/>
                      <w:szCs w:val="21"/>
                    </w:rPr>
                    <w:t>#）</w:t>
                  </w:r>
                </w:p>
              </w:tc>
              <w:tc>
                <w:tcPr>
                  <w:tcW w:w="705" w:type="pct"/>
                  <w:vMerge w:val="continue"/>
                  <w:noWrap w:val="0"/>
                  <w:vAlign w:val="center"/>
                </w:tcPr>
                <w:p>
                  <w:pPr>
                    <w:pStyle w:val="104"/>
                    <w:jc w:val="center"/>
                    <w:rPr>
                      <w:rFonts w:ascii="Times New Roman" w:hAnsi="Times New Roman"/>
                      <w:bCs/>
                      <w:sz w:val="21"/>
                      <w:szCs w:val="21"/>
                    </w:rPr>
                  </w:pPr>
                </w:p>
              </w:tc>
              <w:tc>
                <w:tcPr>
                  <w:tcW w:w="1171"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rPr>
                    <w:t>54.9</w:t>
                  </w:r>
                </w:p>
              </w:tc>
              <w:tc>
                <w:tcPr>
                  <w:tcW w:w="1377" w:type="dxa"/>
                  <w:vMerge w:val="continue"/>
                  <w:noWrap w:val="0"/>
                  <w:vAlign w:val="center"/>
                </w:tcPr>
                <w:p>
                  <w:pPr>
                    <w:pStyle w:val="104"/>
                    <w:jc w:val="center"/>
                    <w:rPr>
                      <w:rFonts w:ascii="Times New Roman" w:hAnsi="Times New Roman"/>
                      <w:bCs/>
                      <w:sz w:val="21"/>
                      <w:szCs w:val="21"/>
                    </w:rPr>
                  </w:pPr>
                </w:p>
              </w:tc>
              <w:tc>
                <w:tcPr>
                  <w:tcW w:w="1175"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rPr>
                    <w:t>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15" w:type="pct"/>
                  <w:gridSpan w:val="3"/>
                  <w:noWrap w:val="0"/>
                  <w:vAlign w:val="center"/>
                </w:tcPr>
                <w:p>
                  <w:pPr>
                    <w:pStyle w:val="104"/>
                    <w:jc w:val="center"/>
                    <w:rPr>
                      <w:rFonts w:hint="eastAsia" w:ascii="宋体" w:hAnsi="宋体"/>
                      <w:b/>
                      <w:sz w:val="21"/>
                      <w:szCs w:val="21"/>
                    </w:rPr>
                  </w:pPr>
                  <w:r>
                    <w:rPr>
                      <w:rFonts w:hint="eastAsia" w:ascii="宋体" w:hAnsi="宋体" w:cs="宋体"/>
                      <w:sz w:val="21"/>
                      <w:szCs w:val="21"/>
                    </w:rPr>
                    <w:t>检测时气象条件</w:t>
                  </w:r>
                </w:p>
              </w:tc>
              <w:tc>
                <w:tcPr>
                  <w:tcW w:w="2784" w:type="pct"/>
                  <w:gridSpan w:val="4"/>
                  <w:noWrap w:val="0"/>
                  <w:vAlign w:val="center"/>
                </w:tcPr>
                <w:p>
                  <w:pPr>
                    <w:pStyle w:val="104"/>
                    <w:jc w:val="center"/>
                    <w:rPr>
                      <w:rFonts w:hint="eastAsia" w:ascii="宋体" w:hAnsi="宋体"/>
                      <w:b/>
                      <w:color w:val="auto"/>
                      <w:sz w:val="21"/>
                      <w:szCs w:val="21"/>
                    </w:rPr>
                  </w:pPr>
                  <w:r>
                    <w:rPr>
                      <w:rFonts w:hint="eastAsia" w:ascii="宋体" w:hAnsi="宋体" w:cs="宋体"/>
                      <w:color w:val="auto"/>
                      <w:sz w:val="21"/>
                      <w:szCs w:val="21"/>
                    </w:rPr>
                    <w:t>天气</w:t>
                  </w:r>
                  <w:r>
                    <w:rPr>
                      <w:rFonts w:hint="eastAsia" w:ascii="宋体" w:hAnsi="宋体" w:cs="宋体"/>
                      <w:color w:val="auto"/>
                      <w:sz w:val="21"/>
                      <w:szCs w:val="21"/>
                      <w:lang w:eastAsia="zh-CN"/>
                    </w:rPr>
                    <w:t>阴</w:t>
                  </w:r>
                  <w:r>
                    <w:rPr>
                      <w:rFonts w:hint="eastAsia" w:ascii="宋体" w:hAnsi="宋体" w:cs="宋体"/>
                      <w:color w:val="auto"/>
                      <w:sz w:val="21"/>
                      <w:szCs w:val="21"/>
                    </w:rPr>
                    <w:t>，风速</w:t>
                  </w:r>
                  <w:r>
                    <w:rPr>
                      <w:rFonts w:ascii="Times New Roman" w:hAnsi="Times New Roman"/>
                      <w:color w:val="auto"/>
                      <w:sz w:val="21"/>
                      <w:szCs w:val="21"/>
                    </w:rPr>
                    <w:t>&lt;5m/s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restart"/>
                  <w:noWrap w:val="0"/>
                  <w:vAlign w:val="center"/>
                </w:tcPr>
                <w:p>
                  <w:pPr>
                    <w:pStyle w:val="104"/>
                    <w:jc w:val="center"/>
                    <w:rPr>
                      <w:rFonts w:ascii="Times New Roman" w:hAnsi="Times New Roman"/>
                      <w:sz w:val="21"/>
                      <w:szCs w:val="21"/>
                    </w:rPr>
                  </w:pPr>
                  <w:r>
                    <w:rPr>
                      <w:rFonts w:ascii="Times New Roman" w:hAnsi="Times New Roman"/>
                      <w:sz w:val="21"/>
                      <w:szCs w:val="21"/>
                    </w:rPr>
                    <w:t>2</w:t>
                  </w:r>
                </w:p>
              </w:tc>
              <w:tc>
                <w:tcPr>
                  <w:tcW w:w="692" w:type="pct"/>
                  <w:vMerge w:val="restart"/>
                  <w:noWrap w:val="0"/>
                  <w:vAlign w:val="center"/>
                </w:tcPr>
                <w:p>
                  <w:pPr>
                    <w:pStyle w:val="104"/>
                    <w:jc w:val="center"/>
                    <w:rPr>
                      <w:rFonts w:hint="eastAsia" w:ascii="Times New Roman" w:hAnsi="Times New Roman" w:eastAsia="宋体"/>
                      <w:sz w:val="21"/>
                      <w:szCs w:val="21"/>
                      <w:lang w:val="en-US" w:eastAsia="zh-CN"/>
                    </w:rPr>
                  </w:pPr>
                  <w:r>
                    <w:rPr>
                      <w:rFonts w:hint="eastAsia" w:ascii="Times New Roman" w:hAnsi="Times New Roman"/>
                      <w:sz w:val="21"/>
                      <w:szCs w:val="21"/>
                      <w:lang w:eastAsia="zh-CN"/>
                    </w:rPr>
                    <w:t>2022.2.18</w:t>
                  </w:r>
                </w:p>
              </w:tc>
              <w:tc>
                <w:tcPr>
                  <w:tcW w:w="1982" w:type="dxa"/>
                  <w:noWrap w:val="0"/>
                  <w:vAlign w:val="center"/>
                </w:tcPr>
                <w:p>
                  <w:pPr>
                    <w:pStyle w:val="104"/>
                    <w:jc w:val="center"/>
                    <w:rPr>
                      <w:rFonts w:ascii="Times New Roman" w:hAnsi="Times New Roman"/>
                      <w:sz w:val="21"/>
                      <w:szCs w:val="21"/>
                    </w:rPr>
                  </w:pPr>
                  <w:r>
                    <w:rPr>
                      <w:rFonts w:hint="default" w:ascii="Times New Roman" w:hAnsi="Times New Roman" w:cs="Times New Roman" w:eastAsiaTheme="minorEastAsia"/>
                      <w:sz w:val="21"/>
                      <w:szCs w:val="21"/>
                    </w:rPr>
                    <w:t>厂界东</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rPr>
                    <w:t>#）</w:t>
                  </w:r>
                </w:p>
              </w:tc>
              <w:tc>
                <w:tcPr>
                  <w:tcW w:w="1263" w:type="dxa"/>
                  <w:vMerge w:val="restart"/>
                  <w:noWrap w:val="0"/>
                  <w:vAlign w:val="center"/>
                </w:tcPr>
                <w:p>
                  <w:pPr>
                    <w:pStyle w:val="104"/>
                    <w:jc w:val="center"/>
                    <w:rPr>
                      <w:rFonts w:hint="default" w:ascii="Times New Roman" w:hAnsi="Times New Roman" w:eastAsia="宋体"/>
                      <w:bCs/>
                      <w:sz w:val="21"/>
                      <w:szCs w:val="21"/>
                      <w:lang w:val="en-US" w:eastAsia="zh-CN"/>
                    </w:rPr>
                  </w:pPr>
                  <w:r>
                    <w:rPr>
                      <w:rFonts w:hint="eastAsia" w:ascii="Times New Roman" w:hAnsi="Times New Roman" w:cs="Times New Roman" w:eastAsiaTheme="minorEastAsia"/>
                      <w:sz w:val="21"/>
                      <w:szCs w:val="21"/>
                      <w:lang w:val="en-US" w:eastAsia="zh-CN"/>
                    </w:rPr>
                    <w:t>10:15-10:32</w:t>
                  </w:r>
                </w:p>
              </w:tc>
              <w:tc>
                <w:tcPr>
                  <w:tcW w:w="1171"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bidi="ar-SA"/>
                    </w:rPr>
                    <w:t>55.8</w:t>
                  </w:r>
                </w:p>
              </w:tc>
              <w:tc>
                <w:tcPr>
                  <w:tcW w:w="1377" w:type="dxa"/>
                  <w:vMerge w:val="restart"/>
                  <w:noWrap w:val="0"/>
                  <w:vAlign w:val="center"/>
                </w:tcPr>
                <w:p>
                  <w:pPr>
                    <w:pStyle w:val="104"/>
                    <w:jc w:val="center"/>
                    <w:rPr>
                      <w:rFonts w:hint="default" w:ascii="Times New Roman" w:hAnsi="Times New Roman" w:eastAsia="宋体"/>
                      <w:bCs/>
                      <w:sz w:val="21"/>
                      <w:szCs w:val="21"/>
                      <w:lang w:val="en-US" w:eastAsia="zh-CN"/>
                    </w:rPr>
                  </w:pPr>
                  <w:r>
                    <w:rPr>
                      <w:rFonts w:hint="eastAsia" w:ascii="Times New Roman" w:hAnsi="Times New Roman" w:cs="Times New Roman" w:eastAsiaTheme="minorEastAsia"/>
                      <w:sz w:val="21"/>
                      <w:szCs w:val="21"/>
                      <w:lang w:val="en-US" w:eastAsia="zh-CN" w:bidi="ar-SA"/>
                    </w:rPr>
                    <w:t>22:17-22:36</w:t>
                  </w:r>
                </w:p>
              </w:tc>
              <w:tc>
                <w:tcPr>
                  <w:tcW w:w="1175"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bidi="ar-SA"/>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continue"/>
                  <w:noWrap w:val="0"/>
                  <w:vAlign w:val="center"/>
                </w:tcPr>
                <w:p>
                  <w:pPr>
                    <w:pStyle w:val="104"/>
                    <w:jc w:val="center"/>
                    <w:rPr>
                      <w:rFonts w:hint="eastAsia" w:ascii="宋体" w:hAnsi="宋体"/>
                      <w:b/>
                      <w:sz w:val="21"/>
                      <w:szCs w:val="21"/>
                    </w:rPr>
                  </w:pPr>
                </w:p>
              </w:tc>
              <w:tc>
                <w:tcPr>
                  <w:tcW w:w="692" w:type="pct"/>
                  <w:vMerge w:val="continue"/>
                  <w:noWrap w:val="0"/>
                  <w:vAlign w:val="center"/>
                </w:tcPr>
                <w:p>
                  <w:pPr>
                    <w:pStyle w:val="104"/>
                    <w:jc w:val="center"/>
                    <w:rPr>
                      <w:rFonts w:hint="eastAsia" w:ascii="宋体" w:hAnsi="宋体"/>
                      <w:b/>
                      <w:sz w:val="21"/>
                      <w:szCs w:val="21"/>
                    </w:rPr>
                  </w:pPr>
                </w:p>
              </w:tc>
              <w:tc>
                <w:tcPr>
                  <w:tcW w:w="1982" w:type="dxa"/>
                  <w:noWrap w:val="0"/>
                  <w:vAlign w:val="center"/>
                </w:tcPr>
                <w:p>
                  <w:pPr>
                    <w:pStyle w:val="104"/>
                    <w:jc w:val="center"/>
                    <w:rPr>
                      <w:rFonts w:ascii="Times New Roman" w:hAnsi="Times New Roman"/>
                      <w:sz w:val="21"/>
                      <w:szCs w:val="21"/>
                    </w:rPr>
                  </w:pPr>
                  <w:r>
                    <w:rPr>
                      <w:rFonts w:hint="default" w:ascii="Times New Roman" w:hAnsi="Times New Roman" w:cs="Times New Roman" w:eastAsiaTheme="minorEastAsia"/>
                      <w:sz w:val="21"/>
                      <w:szCs w:val="21"/>
                    </w:rPr>
                    <w:t>厂界南</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rPr>
                    <w:t>#）</w:t>
                  </w:r>
                </w:p>
              </w:tc>
              <w:tc>
                <w:tcPr>
                  <w:tcW w:w="1263" w:type="dxa"/>
                  <w:vMerge w:val="continue"/>
                  <w:noWrap w:val="0"/>
                  <w:vAlign w:val="center"/>
                </w:tcPr>
                <w:p>
                  <w:pPr>
                    <w:pStyle w:val="104"/>
                    <w:jc w:val="center"/>
                    <w:rPr>
                      <w:rFonts w:ascii="Times New Roman" w:hAnsi="Times New Roman"/>
                      <w:bCs/>
                      <w:sz w:val="21"/>
                      <w:szCs w:val="21"/>
                    </w:rPr>
                  </w:pPr>
                </w:p>
              </w:tc>
              <w:tc>
                <w:tcPr>
                  <w:tcW w:w="1171"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bidi="ar-SA"/>
                    </w:rPr>
                    <w:t>56.5</w:t>
                  </w:r>
                </w:p>
              </w:tc>
              <w:tc>
                <w:tcPr>
                  <w:tcW w:w="1377" w:type="dxa"/>
                  <w:vMerge w:val="continue"/>
                  <w:noWrap w:val="0"/>
                  <w:vAlign w:val="center"/>
                </w:tcPr>
                <w:p>
                  <w:pPr>
                    <w:pStyle w:val="104"/>
                    <w:jc w:val="center"/>
                    <w:rPr>
                      <w:rFonts w:ascii="Times New Roman" w:hAnsi="Times New Roman"/>
                      <w:bCs/>
                      <w:sz w:val="21"/>
                      <w:szCs w:val="21"/>
                    </w:rPr>
                  </w:pPr>
                </w:p>
              </w:tc>
              <w:tc>
                <w:tcPr>
                  <w:tcW w:w="1175"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bidi="ar-SA"/>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continue"/>
                  <w:noWrap w:val="0"/>
                  <w:vAlign w:val="center"/>
                </w:tcPr>
                <w:p>
                  <w:pPr>
                    <w:pStyle w:val="104"/>
                    <w:jc w:val="center"/>
                    <w:rPr>
                      <w:rFonts w:hint="eastAsia" w:ascii="宋体" w:hAnsi="宋体"/>
                      <w:b/>
                      <w:sz w:val="21"/>
                      <w:szCs w:val="21"/>
                    </w:rPr>
                  </w:pPr>
                </w:p>
              </w:tc>
              <w:tc>
                <w:tcPr>
                  <w:tcW w:w="692" w:type="pct"/>
                  <w:vMerge w:val="continue"/>
                  <w:noWrap w:val="0"/>
                  <w:vAlign w:val="center"/>
                </w:tcPr>
                <w:p>
                  <w:pPr>
                    <w:pStyle w:val="104"/>
                    <w:jc w:val="center"/>
                    <w:rPr>
                      <w:rFonts w:hint="eastAsia" w:ascii="宋体" w:hAnsi="宋体"/>
                      <w:b/>
                      <w:sz w:val="21"/>
                      <w:szCs w:val="21"/>
                    </w:rPr>
                  </w:pPr>
                </w:p>
              </w:tc>
              <w:tc>
                <w:tcPr>
                  <w:tcW w:w="1982" w:type="dxa"/>
                  <w:noWrap w:val="0"/>
                  <w:vAlign w:val="center"/>
                </w:tcPr>
                <w:p>
                  <w:pPr>
                    <w:pStyle w:val="104"/>
                    <w:jc w:val="center"/>
                    <w:rPr>
                      <w:rFonts w:ascii="Times New Roman" w:hAnsi="Times New Roman"/>
                      <w:sz w:val="21"/>
                      <w:szCs w:val="21"/>
                    </w:rPr>
                  </w:pPr>
                  <w:r>
                    <w:rPr>
                      <w:rFonts w:hint="default" w:ascii="Times New Roman" w:hAnsi="Times New Roman" w:cs="Times New Roman" w:eastAsiaTheme="minorEastAsia"/>
                      <w:sz w:val="21"/>
                      <w:szCs w:val="21"/>
                    </w:rPr>
                    <w:t>厂界西</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rPr>
                    <w:t>#）</w:t>
                  </w:r>
                </w:p>
              </w:tc>
              <w:tc>
                <w:tcPr>
                  <w:tcW w:w="1263" w:type="dxa"/>
                  <w:vMerge w:val="continue"/>
                  <w:noWrap w:val="0"/>
                  <w:vAlign w:val="center"/>
                </w:tcPr>
                <w:p>
                  <w:pPr>
                    <w:pStyle w:val="104"/>
                    <w:jc w:val="center"/>
                    <w:rPr>
                      <w:rFonts w:hint="eastAsia" w:ascii="Times New Roman" w:hAnsi="Times New Roman"/>
                      <w:bCs/>
                      <w:sz w:val="21"/>
                      <w:szCs w:val="21"/>
                    </w:rPr>
                  </w:pPr>
                </w:p>
              </w:tc>
              <w:tc>
                <w:tcPr>
                  <w:tcW w:w="1171"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bidi="ar-SA"/>
                    </w:rPr>
                    <w:t>57.2</w:t>
                  </w:r>
                </w:p>
              </w:tc>
              <w:tc>
                <w:tcPr>
                  <w:tcW w:w="1377" w:type="dxa"/>
                  <w:vMerge w:val="continue"/>
                  <w:noWrap w:val="0"/>
                  <w:vAlign w:val="center"/>
                </w:tcPr>
                <w:p>
                  <w:pPr>
                    <w:pStyle w:val="104"/>
                    <w:jc w:val="center"/>
                    <w:rPr>
                      <w:rFonts w:hint="eastAsia" w:ascii="Times New Roman" w:hAnsi="Times New Roman"/>
                      <w:bCs/>
                      <w:sz w:val="21"/>
                      <w:szCs w:val="21"/>
                    </w:rPr>
                  </w:pPr>
                </w:p>
              </w:tc>
              <w:tc>
                <w:tcPr>
                  <w:tcW w:w="1175"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bidi="ar-SA"/>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continue"/>
                  <w:noWrap w:val="0"/>
                  <w:vAlign w:val="center"/>
                </w:tcPr>
                <w:p>
                  <w:pPr>
                    <w:pStyle w:val="104"/>
                    <w:jc w:val="center"/>
                    <w:rPr>
                      <w:rFonts w:hint="eastAsia" w:ascii="宋体" w:hAnsi="宋体"/>
                      <w:b/>
                      <w:sz w:val="21"/>
                      <w:szCs w:val="21"/>
                    </w:rPr>
                  </w:pPr>
                </w:p>
              </w:tc>
              <w:tc>
                <w:tcPr>
                  <w:tcW w:w="692" w:type="pct"/>
                  <w:vMerge w:val="continue"/>
                  <w:noWrap w:val="0"/>
                  <w:vAlign w:val="center"/>
                </w:tcPr>
                <w:p>
                  <w:pPr>
                    <w:pStyle w:val="104"/>
                    <w:jc w:val="center"/>
                    <w:rPr>
                      <w:rFonts w:hint="eastAsia" w:ascii="宋体" w:hAnsi="宋体"/>
                      <w:b/>
                      <w:sz w:val="21"/>
                      <w:szCs w:val="21"/>
                    </w:rPr>
                  </w:pPr>
                </w:p>
              </w:tc>
              <w:tc>
                <w:tcPr>
                  <w:tcW w:w="1982" w:type="dxa"/>
                  <w:noWrap w:val="0"/>
                  <w:vAlign w:val="center"/>
                </w:tcPr>
                <w:p>
                  <w:pPr>
                    <w:pStyle w:val="104"/>
                    <w:jc w:val="center"/>
                    <w:rPr>
                      <w:rFonts w:ascii="Times New Roman" w:hAnsi="Times New Roman"/>
                      <w:sz w:val="21"/>
                      <w:szCs w:val="21"/>
                    </w:rPr>
                  </w:pPr>
                  <w:r>
                    <w:rPr>
                      <w:rFonts w:hint="default" w:ascii="Times New Roman" w:hAnsi="Times New Roman" w:cs="Times New Roman" w:eastAsiaTheme="minorEastAsia"/>
                      <w:sz w:val="21"/>
                      <w:szCs w:val="21"/>
                    </w:rPr>
                    <w:t>厂界北</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9</w:t>
                  </w:r>
                  <w:r>
                    <w:rPr>
                      <w:rFonts w:hint="default" w:ascii="Times New Roman" w:hAnsi="Times New Roman" w:cs="Times New Roman" w:eastAsiaTheme="minorEastAsia"/>
                      <w:sz w:val="21"/>
                      <w:szCs w:val="21"/>
                    </w:rPr>
                    <w:t>#）</w:t>
                  </w:r>
                </w:p>
              </w:tc>
              <w:tc>
                <w:tcPr>
                  <w:tcW w:w="1263" w:type="dxa"/>
                  <w:vMerge w:val="continue"/>
                  <w:noWrap w:val="0"/>
                  <w:vAlign w:val="center"/>
                </w:tcPr>
                <w:p>
                  <w:pPr>
                    <w:pStyle w:val="104"/>
                    <w:jc w:val="center"/>
                    <w:rPr>
                      <w:rFonts w:hint="eastAsia" w:ascii="Times New Roman" w:hAnsi="Times New Roman"/>
                      <w:bCs/>
                      <w:sz w:val="21"/>
                      <w:szCs w:val="21"/>
                    </w:rPr>
                  </w:pPr>
                </w:p>
              </w:tc>
              <w:tc>
                <w:tcPr>
                  <w:tcW w:w="1171"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bidi="ar-SA"/>
                    </w:rPr>
                    <w:t>55.6</w:t>
                  </w:r>
                </w:p>
              </w:tc>
              <w:tc>
                <w:tcPr>
                  <w:tcW w:w="1377" w:type="dxa"/>
                  <w:vMerge w:val="continue"/>
                  <w:noWrap w:val="0"/>
                  <w:vAlign w:val="center"/>
                </w:tcPr>
                <w:p>
                  <w:pPr>
                    <w:pStyle w:val="104"/>
                    <w:jc w:val="center"/>
                    <w:rPr>
                      <w:rFonts w:hint="eastAsia" w:ascii="Times New Roman" w:hAnsi="Times New Roman"/>
                      <w:bCs/>
                      <w:sz w:val="21"/>
                      <w:szCs w:val="21"/>
                    </w:rPr>
                  </w:pPr>
                </w:p>
              </w:tc>
              <w:tc>
                <w:tcPr>
                  <w:tcW w:w="1175" w:type="dxa"/>
                  <w:noWrap w:val="0"/>
                  <w:vAlign w:val="center"/>
                </w:tcPr>
                <w:p>
                  <w:pPr>
                    <w:pStyle w:val="104"/>
                    <w:jc w:val="center"/>
                    <w:rPr>
                      <w:rFonts w:hint="default" w:ascii="Times New Roman" w:hAnsi="Times New Roman" w:eastAsia="宋体"/>
                      <w:bCs/>
                      <w:color w:val="auto"/>
                      <w:sz w:val="21"/>
                      <w:szCs w:val="21"/>
                      <w:lang w:val="en-US" w:eastAsia="zh-CN"/>
                    </w:rPr>
                  </w:pPr>
                  <w:r>
                    <w:rPr>
                      <w:rFonts w:hint="eastAsia" w:ascii="Times New Roman" w:hAnsi="Times New Roman" w:cs="Times New Roman" w:eastAsiaTheme="minorEastAsia"/>
                      <w:sz w:val="21"/>
                      <w:szCs w:val="21"/>
                      <w:lang w:val="en-US" w:eastAsia="zh-CN" w:bidi="ar-S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15" w:type="pct"/>
                  <w:gridSpan w:val="3"/>
                  <w:noWrap w:val="0"/>
                  <w:vAlign w:val="center"/>
                </w:tcPr>
                <w:p>
                  <w:pPr>
                    <w:pStyle w:val="104"/>
                    <w:jc w:val="center"/>
                    <w:rPr>
                      <w:rFonts w:hint="eastAsia" w:ascii="宋体" w:hAnsi="宋体"/>
                      <w:b/>
                      <w:sz w:val="21"/>
                      <w:szCs w:val="21"/>
                    </w:rPr>
                  </w:pPr>
                  <w:r>
                    <w:rPr>
                      <w:rFonts w:hint="eastAsia" w:ascii="宋体" w:hAnsi="宋体" w:cs="宋体"/>
                      <w:sz w:val="21"/>
                      <w:szCs w:val="21"/>
                    </w:rPr>
                    <w:t>检测时气象条件</w:t>
                  </w:r>
                </w:p>
              </w:tc>
              <w:tc>
                <w:tcPr>
                  <w:tcW w:w="2784" w:type="pct"/>
                  <w:gridSpan w:val="4"/>
                  <w:noWrap w:val="0"/>
                  <w:vAlign w:val="center"/>
                </w:tcPr>
                <w:p>
                  <w:pPr>
                    <w:pStyle w:val="104"/>
                    <w:jc w:val="center"/>
                    <w:rPr>
                      <w:rFonts w:hint="eastAsia" w:ascii="宋体" w:hAnsi="宋体"/>
                      <w:b/>
                      <w:sz w:val="21"/>
                      <w:szCs w:val="21"/>
                    </w:rPr>
                  </w:pPr>
                  <w:r>
                    <w:rPr>
                      <w:rFonts w:hint="eastAsia" w:ascii="宋体" w:hAnsi="宋体" w:cs="宋体"/>
                      <w:sz w:val="21"/>
                      <w:szCs w:val="21"/>
                    </w:rPr>
                    <w:t>天气</w:t>
                  </w:r>
                  <w:r>
                    <w:rPr>
                      <w:rFonts w:hint="eastAsia" w:ascii="宋体" w:hAnsi="宋体" w:cs="宋体"/>
                      <w:sz w:val="21"/>
                      <w:szCs w:val="21"/>
                      <w:lang w:eastAsia="zh-CN"/>
                    </w:rPr>
                    <w:t>阴</w:t>
                  </w:r>
                  <w:r>
                    <w:rPr>
                      <w:rFonts w:hint="eastAsia" w:ascii="宋体" w:hAnsi="宋体" w:cs="宋体"/>
                      <w:sz w:val="21"/>
                      <w:szCs w:val="21"/>
                    </w:rPr>
                    <w:t>，风速</w:t>
                  </w:r>
                  <w:r>
                    <w:rPr>
                      <w:rFonts w:ascii="Times New Roman" w:hAnsi="Times New Roman"/>
                      <w:sz w:val="21"/>
                      <w:szCs w:val="21"/>
                    </w:rPr>
                    <w:t>&lt;5m/s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15" w:type="pct"/>
                  <w:gridSpan w:val="3"/>
                  <w:noWrap w:val="0"/>
                  <w:vAlign w:val="center"/>
                </w:tcPr>
                <w:p>
                  <w:pPr>
                    <w:pStyle w:val="104"/>
                    <w:jc w:val="center"/>
                    <w:rPr>
                      <w:rFonts w:hint="eastAsia" w:ascii="Times New Roman" w:hAnsi="宋体" w:cs="宋体"/>
                      <w:sz w:val="21"/>
                      <w:szCs w:val="21"/>
                    </w:rPr>
                  </w:pPr>
                  <w:r>
                    <w:rPr>
                      <w:rFonts w:hint="eastAsia" w:ascii="Times New Roman" w:hAnsi="宋体" w:cs="宋体"/>
                      <w:sz w:val="21"/>
                      <w:szCs w:val="21"/>
                    </w:rPr>
                    <w:t>《工业企业厂界环境噪声排放标准》</w:t>
                  </w:r>
                </w:p>
                <w:p>
                  <w:pPr>
                    <w:pStyle w:val="104"/>
                    <w:jc w:val="center"/>
                    <w:rPr>
                      <w:rFonts w:hint="eastAsia" w:ascii="宋体" w:hAnsi="宋体"/>
                      <w:b/>
                      <w:sz w:val="21"/>
                      <w:szCs w:val="21"/>
                    </w:rPr>
                  </w:pPr>
                  <w:r>
                    <w:rPr>
                      <w:rFonts w:hint="eastAsia" w:ascii="Times New Roman" w:hAnsi="宋体" w:cs="宋体"/>
                      <w:sz w:val="21"/>
                      <w:szCs w:val="21"/>
                    </w:rPr>
                    <w:t>（GB 12348-2008）</w:t>
                  </w:r>
                  <w:r>
                    <w:rPr>
                      <w:rFonts w:hint="eastAsia" w:ascii="Times New Roman" w:hAnsi="宋体" w:cs="宋体"/>
                      <w:sz w:val="21"/>
                      <w:szCs w:val="21"/>
                      <w:lang w:val="en-US" w:eastAsia="zh-CN"/>
                    </w:rPr>
                    <w:t>Ⅱ</w:t>
                  </w:r>
                  <w:r>
                    <w:rPr>
                      <w:rFonts w:hint="eastAsia" w:ascii="宋体" w:hAnsi="宋体" w:cs="宋体"/>
                      <w:sz w:val="21"/>
                      <w:szCs w:val="21"/>
                    </w:rPr>
                    <w:t>类标准</w:t>
                  </w:r>
                </w:p>
              </w:tc>
              <w:tc>
                <w:tcPr>
                  <w:tcW w:w="1359" w:type="pct"/>
                  <w:gridSpan w:val="2"/>
                  <w:noWrap w:val="0"/>
                  <w:vAlign w:val="center"/>
                </w:tcPr>
                <w:p>
                  <w:pPr>
                    <w:pStyle w:val="104"/>
                    <w:jc w:val="center"/>
                    <w:rPr>
                      <w:rFonts w:hint="eastAsia" w:ascii="宋体" w:hAnsi="宋体" w:eastAsia="宋体"/>
                      <w:b/>
                      <w:sz w:val="21"/>
                      <w:szCs w:val="21"/>
                      <w:lang w:val="en-US" w:eastAsia="zh-CN"/>
                    </w:rPr>
                  </w:pPr>
                  <w:r>
                    <w:rPr>
                      <w:rFonts w:hint="eastAsia" w:ascii="Times New Roman" w:hAnsi="Times New Roman" w:cs="宋体"/>
                      <w:sz w:val="21"/>
                      <w:szCs w:val="21"/>
                    </w:rPr>
                    <w:t>6</w:t>
                  </w:r>
                  <w:r>
                    <w:rPr>
                      <w:rFonts w:hint="eastAsia" w:ascii="Times New Roman" w:hAnsi="Times New Roman" w:cs="宋体"/>
                      <w:sz w:val="21"/>
                      <w:szCs w:val="21"/>
                      <w:lang w:val="en-US" w:eastAsia="zh-CN"/>
                    </w:rPr>
                    <w:t>0</w:t>
                  </w:r>
                </w:p>
              </w:tc>
              <w:tc>
                <w:tcPr>
                  <w:tcW w:w="1424" w:type="pct"/>
                  <w:gridSpan w:val="2"/>
                  <w:noWrap w:val="0"/>
                  <w:vAlign w:val="center"/>
                </w:tcPr>
                <w:p>
                  <w:pPr>
                    <w:pStyle w:val="104"/>
                    <w:jc w:val="center"/>
                    <w:rPr>
                      <w:rFonts w:hint="eastAsia" w:ascii="Times New Roman" w:hAnsi="Times New Roman" w:eastAsia="宋体"/>
                      <w:sz w:val="21"/>
                      <w:szCs w:val="21"/>
                      <w:lang w:val="en-US" w:eastAsia="zh-CN"/>
                    </w:rPr>
                  </w:pPr>
                  <w:r>
                    <w:rPr>
                      <w:rFonts w:ascii="Times New Roman" w:hAnsi="Times New Roman"/>
                      <w:sz w:val="21"/>
                      <w:szCs w:val="21"/>
                    </w:rPr>
                    <w:t>5</w:t>
                  </w:r>
                  <w:r>
                    <w:rPr>
                      <w:rFonts w:hint="eastAsia" w:ascii="Times New Roman" w:hAnsi="Times New Roman"/>
                      <w:sz w:val="21"/>
                      <w:szCs w:val="21"/>
                      <w:lang w:val="en-US" w:eastAsia="zh-CN"/>
                    </w:rPr>
                    <w:t>0</w:t>
                  </w:r>
                </w:p>
              </w:tc>
            </w:tr>
          </w:tbl>
          <w:p>
            <w:pPr>
              <w:pStyle w:val="4"/>
              <w:rPr>
                <w:rFonts w:hint="eastAsia"/>
              </w:rPr>
            </w:pPr>
            <w:r>
              <w:t>由上表分析，</w:t>
            </w:r>
            <w:r>
              <w:rPr>
                <w:rFonts w:hint="eastAsia"/>
                <w:color w:val="000000" w:themeColor="text1"/>
                <w:lang w:val="en-US" w:eastAsia="zh-CN"/>
                <w14:textFill>
                  <w14:solidFill>
                    <w14:schemeClr w14:val="tx1"/>
                  </w14:solidFill>
                </w14:textFill>
              </w:rPr>
              <w:t>2月17日</w:t>
            </w:r>
            <w:r>
              <w:t>~</w:t>
            </w:r>
            <w:r>
              <w:rPr>
                <w:rFonts w:hint="eastAsia"/>
                <w:lang w:val="en-US" w:eastAsia="zh-CN"/>
              </w:rPr>
              <w:t>2月18日</w:t>
            </w:r>
            <w:r>
              <w:t>项目厂界昼间噪声排放为</w:t>
            </w:r>
            <w:r>
              <w:rPr>
                <w:rFonts w:hint="eastAsia"/>
                <w:color w:val="auto"/>
                <w:lang w:val="en-US" w:eastAsia="zh-CN"/>
              </w:rPr>
              <w:t>54.9</w:t>
            </w:r>
            <w:r>
              <w:rPr>
                <w:color w:val="auto"/>
              </w:rPr>
              <w:t>~</w:t>
            </w:r>
            <w:r>
              <w:rPr>
                <w:rFonts w:hint="eastAsia"/>
                <w:color w:val="auto"/>
                <w:lang w:val="en-US" w:eastAsia="zh-CN"/>
              </w:rPr>
              <w:t>57.2</w:t>
            </w:r>
            <w:r>
              <w:rPr>
                <w:color w:val="auto"/>
              </w:rPr>
              <w:t>d</w:t>
            </w:r>
            <w:r>
              <w:t>B(A)，</w:t>
            </w:r>
            <w:r>
              <w:rPr>
                <w:rFonts w:hint="eastAsia"/>
              </w:rPr>
              <w:t>夜</w:t>
            </w:r>
            <w:r>
              <w:t>间噪声排放为</w:t>
            </w:r>
            <w:r>
              <w:rPr>
                <w:rFonts w:hint="eastAsia"/>
                <w:color w:val="auto"/>
                <w:lang w:val="en-US" w:eastAsia="zh-CN"/>
              </w:rPr>
              <w:t>44.9</w:t>
            </w:r>
            <w:r>
              <w:rPr>
                <w:color w:val="auto"/>
              </w:rPr>
              <w:t>~</w:t>
            </w:r>
            <w:r>
              <w:rPr>
                <w:rFonts w:hint="eastAsia"/>
                <w:color w:val="auto"/>
                <w:lang w:val="en-US" w:eastAsia="zh-CN"/>
              </w:rPr>
              <w:t>47.9</w:t>
            </w:r>
            <w:r>
              <w:rPr>
                <w:color w:val="auto"/>
              </w:rPr>
              <w:t>d</w:t>
            </w:r>
            <w:r>
              <w:t>B(A)，达到《工业企业厂界环境噪声排放标准》（GB12348-2008）</w:t>
            </w:r>
            <w:r>
              <w:rPr>
                <w:rFonts w:hint="eastAsia"/>
                <w:lang w:val="en-US" w:eastAsia="zh-CN"/>
              </w:rPr>
              <w:t>Ⅱ</w:t>
            </w:r>
            <w:r>
              <w:t>类标准</w:t>
            </w:r>
            <w:r>
              <w:rPr>
                <w:rFonts w:hint="eastAsia"/>
              </w:rPr>
              <w:t>。</w:t>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7"/>
            </w:pPr>
            <w:r>
              <w:rPr>
                <w:rFonts w:hint="eastAsia"/>
              </w:rPr>
              <w:t>监测点位</w:t>
            </w:r>
          </w:p>
          <w:p>
            <w:pPr>
              <w:pStyle w:val="86"/>
              <w:rPr>
                <w:rStyle w:val="69"/>
                <w:rFonts w:asciiTheme="majorEastAsia" w:hAnsiTheme="majorEastAsia"/>
                <w:b w:val="0"/>
              </w:rPr>
            </w:pPr>
            <w:r>
              <w:rPr>
                <w:rStyle w:val="69"/>
                <w:rFonts w:hint="eastAsia" w:asciiTheme="majorEastAsia" w:hAnsiTheme="majorEastAsia"/>
                <w:b w:val="0"/>
              </w:rPr>
              <w:t>检测布点图如下：</w:t>
            </w:r>
          </w:p>
          <w:p>
            <w:pPr>
              <w:pStyle w:val="4"/>
              <w:ind w:firstLine="0" w:firstLineChars="0"/>
              <w:jc w:val="center"/>
              <w:rPr>
                <w:rFonts w:hint="eastAsia" w:eastAsiaTheme="majorEastAsia"/>
                <w:lang w:eastAsia="zh-CN"/>
              </w:rPr>
            </w:pPr>
            <w:r>
              <w:rPr>
                <w:rFonts w:hint="eastAsia" w:eastAsia="微软雅黑"/>
                <w:lang w:eastAsia="zh-CN"/>
              </w:rPr>
              <w:object>
                <v:shape id="_x0000_i1025" o:spt="75" type="#_x0000_t75" style="height:230.2pt;width:256.0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pPr>
              <w:spacing w:before="48" w:beforeLines="20" w:line="360" w:lineRule="auto"/>
              <w:jc w:val="center"/>
              <w:rPr>
                <w:rFonts w:eastAsia="仿宋_GB2312"/>
                <w:color w:val="000000"/>
                <w:szCs w:val="21"/>
              </w:rPr>
            </w:pPr>
            <w:r>
              <w:rPr>
                <w:rStyle w:val="69"/>
                <w:rFonts w:hint="eastAsia"/>
              </w:rPr>
              <w:t>图7.2-1检测布点图</w:t>
            </w:r>
          </w:p>
        </w:tc>
      </w:tr>
    </w:tbl>
    <w:p>
      <w:pPr>
        <w:spacing w:line="360" w:lineRule="auto"/>
        <w:rPr>
          <w:rFonts w:eastAsia="仿宋_GB2312"/>
          <w:b/>
          <w:color w:val="000000"/>
          <w:szCs w:val="21"/>
        </w:rPr>
        <w:sectPr>
          <w:pgSz w:w="11906" w:h="16838"/>
          <w:pgMar w:top="1417" w:right="1417" w:bottom="1417" w:left="1417" w:header="708" w:footer="708" w:gutter="0"/>
          <w:pgBorders>
            <w:top w:val="none" w:sz="0" w:space="0"/>
            <w:left w:val="none" w:sz="0" w:space="0"/>
            <w:bottom w:val="none" w:sz="0" w:space="0"/>
            <w:right w:val="none" w:sz="0" w:space="0"/>
          </w:pgBorders>
          <w:pgNumType w:fmt="numberInDash"/>
          <w:cols w:space="720" w:num="1"/>
          <w:docGrid w:linePitch="360" w:charSpace="0"/>
        </w:sectPr>
      </w:pPr>
    </w:p>
    <w:p>
      <w:pPr>
        <w:pStyle w:val="3"/>
        <w:rPr>
          <w:rFonts w:eastAsia="仿宋_GB2312"/>
          <w:color w:val="000000"/>
        </w:rPr>
      </w:pPr>
      <w:bookmarkStart w:id="208" w:name="_Toc16077"/>
      <w:bookmarkStart w:id="209" w:name="_Toc27500"/>
      <w:r>
        <w:rPr>
          <w:rFonts w:hint="eastAsia"/>
        </w:rPr>
        <w:t>验收监测结论</w:t>
      </w:r>
      <w:bookmarkEnd w:id="208"/>
      <w:bookmarkEnd w:id="209"/>
    </w:p>
    <w:tbl>
      <w:tblPr>
        <w:tblStyle w:val="37"/>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9" w:hRule="atLeast"/>
          <w:jc w:val="center"/>
        </w:trPr>
        <w:tc>
          <w:tcPr>
            <w:tcW w:w="8924" w:type="dxa"/>
          </w:tcPr>
          <w:p>
            <w:pPr>
              <w:pStyle w:val="5"/>
            </w:pPr>
            <w:bookmarkStart w:id="210" w:name="_Toc519179450"/>
            <w:bookmarkEnd w:id="210"/>
            <w:bookmarkStart w:id="211" w:name="_Toc524703424"/>
            <w:bookmarkEnd w:id="211"/>
            <w:bookmarkStart w:id="212" w:name="_Toc524703357"/>
            <w:bookmarkEnd w:id="212"/>
            <w:bookmarkStart w:id="213" w:name="_Toc518567436"/>
            <w:bookmarkEnd w:id="213"/>
            <w:bookmarkStart w:id="214" w:name="_Toc531879853"/>
            <w:bookmarkEnd w:id="214"/>
            <w:bookmarkStart w:id="215" w:name="_Toc531881928"/>
            <w:bookmarkEnd w:id="215"/>
            <w:bookmarkStart w:id="216" w:name="_Toc519235318"/>
            <w:bookmarkEnd w:id="216"/>
            <w:bookmarkStart w:id="217" w:name="_Toc519235252"/>
            <w:bookmarkEnd w:id="217"/>
            <w:bookmarkStart w:id="218" w:name="_Toc529265117"/>
            <w:bookmarkEnd w:id="218"/>
            <w:bookmarkStart w:id="219" w:name="_Toc22523"/>
            <w:bookmarkStart w:id="220" w:name="_Toc10549"/>
            <w:r>
              <w:rPr>
                <w:rFonts w:hint="eastAsia"/>
              </w:rPr>
              <w:t>结论</w:t>
            </w:r>
            <w:bookmarkEnd w:id="219"/>
            <w:bookmarkEnd w:id="220"/>
          </w:p>
          <w:p>
            <w:pPr>
              <w:pStyle w:val="4"/>
            </w:pPr>
            <w:r>
              <w:rPr>
                <w:rFonts w:hint="eastAsia"/>
              </w:rPr>
              <w:t>综上所述，</w:t>
            </w:r>
            <w:r>
              <w:rPr>
                <w:rFonts w:hint="eastAsia"/>
                <w:lang w:val="en-US" w:eastAsia="zh-CN"/>
              </w:rPr>
              <w:t>宁波市海曙古林宏通印花厂（普通合伙）年印50万衣片印花（水性及油性）项目</w:t>
            </w:r>
            <w:r>
              <w:rPr>
                <w:rFonts w:hint="eastAsia"/>
              </w:rPr>
              <w:t>在建设至竣工期间，能严格执行环保“三同时”制度，验收资料齐全，环境保护措施基本落实，监测的各项污染物指标均达到相应的排放标准及相关环境标准，符合竣工环保验收有关要求。</w:t>
            </w:r>
          </w:p>
          <w:p>
            <w:pPr>
              <w:pStyle w:val="5"/>
            </w:pPr>
            <w:bookmarkStart w:id="221" w:name="_Toc3555"/>
            <w:bookmarkStart w:id="222" w:name="_Toc508394848"/>
            <w:bookmarkStart w:id="223" w:name="_Toc508447133"/>
            <w:bookmarkStart w:id="224" w:name="_Toc22588"/>
            <w:r>
              <w:rPr>
                <w:rFonts w:hint="eastAsia"/>
              </w:rPr>
              <w:t>建议</w:t>
            </w:r>
            <w:bookmarkEnd w:id="221"/>
            <w:bookmarkEnd w:id="222"/>
            <w:bookmarkEnd w:id="223"/>
            <w:bookmarkEnd w:id="224"/>
          </w:p>
          <w:p>
            <w:pPr>
              <w:pStyle w:val="4"/>
            </w:pPr>
            <w:r>
              <w:rPr>
                <w:rFonts w:hint="eastAsia"/>
              </w:rPr>
              <w:t>1）加强废气</w:t>
            </w:r>
            <w:r>
              <w:rPr>
                <w:rFonts w:hint="eastAsia"/>
                <w:lang w:val="en-US" w:eastAsia="zh-CN"/>
              </w:rPr>
              <w:t>废水</w:t>
            </w:r>
            <w:r>
              <w:rPr>
                <w:rFonts w:hint="eastAsia"/>
              </w:rPr>
              <w:t>相关处理设施的日常管理和检查，确保设施的正常运行；</w:t>
            </w:r>
          </w:p>
          <w:p>
            <w:pPr>
              <w:pStyle w:val="4"/>
            </w:pPr>
            <w:r>
              <w:rPr>
                <w:rFonts w:hint="eastAsia"/>
              </w:rPr>
              <w:t>2）规范固废暂存场所的规范设置，做好相关台账记录；</w:t>
            </w:r>
          </w:p>
          <w:p>
            <w:pPr>
              <w:pStyle w:val="4"/>
            </w:pPr>
            <w:r>
              <w:rPr>
                <w:rFonts w:hint="eastAsia"/>
              </w:rPr>
              <w:t>3）完善环保</w:t>
            </w:r>
            <w:r>
              <w:rPr>
                <w:rFonts w:hint="eastAsia"/>
                <w:lang w:eastAsia="zh-CN"/>
              </w:rPr>
              <w:t>相关</w:t>
            </w:r>
            <w:r>
              <w:rPr>
                <w:rFonts w:hint="eastAsia"/>
              </w:rPr>
              <w:t>标示标牌。</w:t>
            </w: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tc>
      </w:tr>
    </w:tbl>
    <w:p>
      <w:pPr>
        <w:pStyle w:val="3"/>
      </w:pPr>
      <w:bookmarkStart w:id="225" w:name="_Toc508447134"/>
      <w:bookmarkStart w:id="226" w:name="_Toc16960"/>
      <w:bookmarkStart w:id="227" w:name="_Toc7985"/>
      <w:r>
        <w:rPr>
          <w:rFonts w:hint="eastAsia"/>
        </w:rPr>
        <w:t>附件与附图</w:t>
      </w:r>
      <w:bookmarkEnd w:id="225"/>
      <w:bookmarkEnd w:id="226"/>
      <w:bookmarkEnd w:id="227"/>
    </w:p>
    <w:p>
      <w:pPr>
        <w:pStyle w:val="5"/>
      </w:pPr>
      <w:bookmarkStart w:id="228" w:name="_Toc529265121"/>
      <w:bookmarkEnd w:id="228"/>
      <w:bookmarkStart w:id="229" w:name="_Toc524703361"/>
      <w:bookmarkEnd w:id="229"/>
      <w:bookmarkStart w:id="230" w:name="_Toc519179454"/>
      <w:bookmarkEnd w:id="230"/>
      <w:bookmarkStart w:id="231" w:name="_Toc519235256"/>
      <w:bookmarkEnd w:id="231"/>
      <w:bookmarkStart w:id="232" w:name="_Toc518567440"/>
      <w:bookmarkEnd w:id="232"/>
      <w:bookmarkStart w:id="233" w:name="_Toc519235322"/>
      <w:bookmarkEnd w:id="233"/>
      <w:bookmarkStart w:id="234" w:name="_Toc531881932"/>
      <w:bookmarkEnd w:id="234"/>
      <w:bookmarkStart w:id="235" w:name="_Toc524703428"/>
      <w:bookmarkEnd w:id="235"/>
      <w:bookmarkStart w:id="236" w:name="_Toc531879857"/>
      <w:bookmarkEnd w:id="236"/>
      <w:bookmarkStart w:id="237" w:name="_Toc16929"/>
      <w:bookmarkStart w:id="238" w:name="_Toc26272"/>
      <w:bookmarkStart w:id="239" w:name="_Toc508447140"/>
      <w:r>
        <w:rPr>
          <w:rFonts w:hint="eastAsia"/>
        </w:rPr>
        <w:t>附件</w:t>
      </w:r>
      <w:r>
        <w:rPr>
          <w:rFonts w:hint="eastAsia"/>
          <w:lang w:eastAsia="zh-CN"/>
        </w:rPr>
        <w:t>一</w:t>
      </w:r>
      <w:r>
        <w:rPr>
          <w:rFonts w:hint="eastAsia"/>
        </w:rPr>
        <w:t xml:space="preserve"> </w:t>
      </w:r>
      <w:bookmarkEnd w:id="237"/>
      <w:r>
        <w:rPr>
          <w:rFonts w:hint="eastAsia"/>
          <w:lang w:eastAsia="zh-CN"/>
        </w:rPr>
        <w:t>营业执照</w:t>
      </w:r>
      <w:bookmarkEnd w:id="238"/>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339080" cy="7846695"/>
            <wp:effectExtent l="0" t="0" r="13970" b="1905"/>
            <wp:docPr id="4" name="图片 4" descr="164618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6186301"/>
                    <pic:cNvPicPr>
                      <a:picLocks noChangeAspect="1"/>
                    </pic:cNvPicPr>
                  </pic:nvPicPr>
                  <pic:blipFill>
                    <a:blip r:embed="rId15"/>
                    <a:stretch>
                      <a:fillRect/>
                    </a:stretch>
                  </pic:blipFill>
                  <pic:spPr>
                    <a:xfrm>
                      <a:off x="0" y="0"/>
                      <a:ext cx="5339080" cy="7846695"/>
                    </a:xfrm>
                    <a:prstGeom prst="rect">
                      <a:avLst/>
                    </a:prstGeom>
                  </pic:spPr>
                </pic:pic>
              </a:graphicData>
            </a:graphic>
          </wp:inline>
        </w:drawing>
      </w:r>
    </w:p>
    <w:p>
      <w:pPr>
        <w:pStyle w:val="4"/>
        <w:ind w:firstLine="0" w:firstLineChars="0"/>
        <w:jc w:val="both"/>
      </w:pPr>
    </w:p>
    <w:p>
      <w:pPr>
        <w:pStyle w:val="4"/>
        <w:ind w:firstLine="0" w:firstLineChars="0"/>
        <w:jc w:val="both"/>
        <w:sectPr>
          <w:headerReference r:id="rId5" w:type="default"/>
          <w:footerReference r:id="rId7" w:type="default"/>
          <w:headerReference r:id="rId6" w:type="even"/>
          <w:pgSz w:w="11907" w:h="16840"/>
          <w:pgMar w:top="1417" w:right="1417" w:bottom="1417" w:left="1417" w:header="1134" w:footer="1134" w:gutter="0"/>
          <w:pgBorders>
            <w:top w:val="none" w:sz="0" w:space="0"/>
            <w:left w:val="none" w:sz="0" w:space="0"/>
            <w:bottom w:val="none" w:sz="0" w:space="0"/>
            <w:right w:val="none" w:sz="0" w:space="0"/>
          </w:pgBorders>
          <w:pgNumType w:fmt="numberInDash"/>
          <w:cols w:space="425" w:num="1"/>
          <w:docGrid w:linePitch="312" w:charSpace="0"/>
        </w:sectPr>
      </w:pPr>
    </w:p>
    <w:bookmarkEnd w:id="239"/>
    <w:p>
      <w:pPr>
        <w:pStyle w:val="5"/>
      </w:pPr>
      <w:bookmarkStart w:id="240" w:name="_Toc12826"/>
      <w:bookmarkStart w:id="241" w:name="_Toc17656"/>
      <w:r>
        <w:rPr>
          <w:rFonts w:hint="eastAsia"/>
        </w:rPr>
        <w:t>附件</w:t>
      </w:r>
      <w:r>
        <w:rPr>
          <w:rFonts w:hint="eastAsia"/>
          <w:lang w:eastAsia="zh-CN"/>
        </w:rPr>
        <w:t>二</w:t>
      </w:r>
      <w:r>
        <w:rPr>
          <w:rFonts w:hint="eastAsia"/>
        </w:rPr>
        <w:t xml:space="preserve"> </w:t>
      </w:r>
      <w:r>
        <w:rPr>
          <w:rFonts w:hint="eastAsia"/>
          <w:lang w:eastAsia="zh-CN"/>
        </w:rPr>
        <w:t>报告表批复</w:t>
      </w:r>
      <w:bookmarkEnd w:id="240"/>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153025" cy="8213725"/>
            <wp:effectExtent l="0" t="0" r="9525" b="15875"/>
            <wp:docPr id="6" name="图片 6" descr="1646186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6186571(1)"/>
                    <pic:cNvPicPr>
                      <a:picLocks noChangeAspect="1"/>
                    </pic:cNvPicPr>
                  </pic:nvPicPr>
                  <pic:blipFill>
                    <a:blip r:embed="rId16"/>
                    <a:stretch>
                      <a:fillRect/>
                    </a:stretch>
                  </pic:blipFill>
                  <pic:spPr>
                    <a:xfrm>
                      <a:off x="0" y="0"/>
                      <a:ext cx="5153025" cy="8213725"/>
                    </a:xfrm>
                    <a:prstGeom prst="rect">
                      <a:avLst/>
                    </a:prstGeom>
                  </pic:spPr>
                </pic:pic>
              </a:graphicData>
            </a:graphic>
          </wp:inline>
        </w:drawing>
      </w:r>
    </w:p>
    <w:p>
      <w:pPr>
        <w:pStyle w:val="4"/>
        <w:rPr>
          <w:rFonts w:hint="eastAsia"/>
          <w:lang w:eastAsia="zh-CN"/>
        </w:rPr>
      </w:pPr>
    </w:p>
    <w:p>
      <w:pPr>
        <w:pStyle w:val="4"/>
        <w:rPr>
          <w:rFonts w:hint="eastAsia"/>
          <w:lang w:eastAsia="zh-CN"/>
        </w:rPr>
        <w:sectPr>
          <w:footerReference r:id="rId8" w:type="default"/>
          <w:pgSz w:w="11907" w:h="16840"/>
          <w:pgMar w:top="1418" w:right="1701" w:bottom="1418" w:left="1701" w:header="1134" w:footer="1134" w:gutter="0"/>
          <w:pgBorders>
            <w:top w:val="none" w:sz="0" w:space="0"/>
            <w:left w:val="none" w:sz="0" w:space="0"/>
            <w:bottom w:val="none" w:sz="0" w:space="0"/>
            <w:right w:val="none" w:sz="0" w:space="0"/>
          </w:pgBorders>
          <w:pgNumType w:fmt="numberInDash"/>
          <w:cols w:space="425" w:num="1"/>
          <w:docGrid w:linePitch="312" w:charSpace="0"/>
        </w:sectPr>
      </w:pPr>
    </w:p>
    <w:p>
      <w:pPr>
        <w:pStyle w:val="5"/>
      </w:pPr>
      <w:bookmarkStart w:id="242" w:name="_Toc17994"/>
      <w:r>
        <w:rPr>
          <w:rFonts w:hint="eastAsia"/>
        </w:rPr>
        <w:t>附件</w:t>
      </w:r>
      <w:r>
        <w:rPr>
          <w:rFonts w:hint="eastAsia"/>
          <w:lang w:eastAsia="zh-CN"/>
        </w:rPr>
        <w:t>三</w:t>
      </w:r>
      <w:r>
        <w:rPr>
          <w:rFonts w:hint="eastAsia"/>
        </w:rPr>
        <w:t xml:space="preserve"> 检测报告</w:t>
      </w:r>
      <w:bookmarkEnd w:id="241"/>
      <w:bookmarkEnd w:id="242"/>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000625" cy="6838950"/>
            <wp:effectExtent l="0" t="0" r="9525" b="0"/>
            <wp:docPr id="29" name="图片 29" descr="1646967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6967891(1)"/>
                    <pic:cNvPicPr>
                      <a:picLocks noChangeAspect="1"/>
                    </pic:cNvPicPr>
                  </pic:nvPicPr>
                  <pic:blipFill>
                    <a:blip r:embed="rId17"/>
                    <a:stretch>
                      <a:fillRect/>
                    </a:stretch>
                  </pic:blipFill>
                  <pic:spPr>
                    <a:xfrm>
                      <a:off x="0" y="0"/>
                      <a:ext cx="5000625" cy="6838950"/>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085080" cy="7080250"/>
            <wp:effectExtent l="0" t="0" r="1270" b="6350"/>
            <wp:docPr id="30" name="图片 30" descr="1646967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6967927(1)"/>
                    <pic:cNvPicPr>
                      <a:picLocks noChangeAspect="1"/>
                    </pic:cNvPicPr>
                  </pic:nvPicPr>
                  <pic:blipFill>
                    <a:blip r:embed="rId18"/>
                    <a:stretch>
                      <a:fillRect/>
                    </a:stretch>
                  </pic:blipFill>
                  <pic:spPr>
                    <a:xfrm>
                      <a:off x="0" y="0"/>
                      <a:ext cx="5085080" cy="7080250"/>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038725" cy="7077075"/>
            <wp:effectExtent l="0" t="0" r="9525" b="9525"/>
            <wp:docPr id="31" name="图片 31" descr="1646967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6967959(1)"/>
                    <pic:cNvPicPr>
                      <a:picLocks noChangeAspect="1"/>
                    </pic:cNvPicPr>
                  </pic:nvPicPr>
                  <pic:blipFill>
                    <a:blip r:embed="rId19"/>
                    <a:stretch>
                      <a:fillRect/>
                    </a:stretch>
                  </pic:blipFill>
                  <pic:spPr>
                    <a:xfrm>
                      <a:off x="0" y="0"/>
                      <a:ext cx="5038725" cy="7077075"/>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038725" cy="7000875"/>
            <wp:effectExtent l="0" t="0" r="9525" b="9525"/>
            <wp:docPr id="32" name="图片 32" descr="164696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46967995"/>
                    <pic:cNvPicPr>
                      <a:picLocks noChangeAspect="1"/>
                    </pic:cNvPicPr>
                  </pic:nvPicPr>
                  <pic:blipFill>
                    <a:blip r:embed="rId20"/>
                    <a:stretch>
                      <a:fillRect/>
                    </a:stretch>
                  </pic:blipFill>
                  <pic:spPr>
                    <a:xfrm>
                      <a:off x="0" y="0"/>
                      <a:ext cx="5038725" cy="7000875"/>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029200" cy="6953250"/>
            <wp:effectExtent l="0" t="0" r="0" b="0"/>
            <wp:docPr id="33" name="图片 33" descr="164696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46968019(1)"/>
                    <pic:cNvPicPr>
                      <a:picLocks noChangeAspect="1"/>
                    </pic:cNvPicPr>
                  </pic:nvPicPr>
                  <pic:blipFill>
                    <a:blip r:embed="rId21"/>
                    <a:stretch>
                      <a:fillRect/>
                    </a:stretch>
                  </pic:blipFill>
                  <pic:spPr>
                    <a:xfrm>
                      <a:off x="0" y="0"/>
                      <a:ext cx="5029200" cy="6953250"/>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p>
    <w:p>
      <w:pPr>
        <w:pStyle w:val="47"/>
        <w:jc w:val="center"/>
        <w:rPr>
          <w:rFonts w:hint="eastAsia"/>
          <w:lang w:eastAsia="zh-CN"/>
        </w:rPr>
      </w:pPr>
    </w:p>
    <w:p>
      <w:pPr>
        <w:rPr>
          <w:rFonts w:hint="eastAsia"/>
          <w:sz w:val="28"/>
          <w:szCs w:val="28"/>
        </w:rPr>
      </w:pPr>
    </w:p>
    <w:p>
      <w:pPr>
        <w:pStyle w:val="47"/>
        <w:sectPr>
          <w:pgSz w:w="11907" w:h="16840"/>
          <w:pgMar w:top="1418" w:right="1701" w:bottom="1418" w:left="1701" w:header="1134" w:footer="1134" w:gutter="0"/>
          <w:pgBorders>
            <w:top w:val="none" w:sz="0" w:space="0"/>
            <w:left w:val="none" w:sz="0" w:space="0"/>
            <w:bottom w:val="none" w:sz="0" w:space="0"/>
            <w:right w:val="none" w:sz="0" w:space="0"/>
          </w:pgBorders>
          <w:pgNumType w:fmt="numberInDash"/>
          <w:cols w:space="425" w:num="1"/>
          <w:docGrid w:linePitch="312" w:charSpace="0"/>
        </w:sectPr>
      </w:pPr>
    </w:p>
    <w:p>
      <w:pPr>
        <w:pStyle w:val="5"/>
      </w:pPr>
      <w:bookmarkStart w:id="243" w:name="_Toc21009"/>
      <w:r>
        <w:rPr>
          <w:rFonts w:hint="eastAsia"/>
        </w:rPr>
        <w:t>附件</w:t>
      </w:r>
      <w:r>
        <w:rPr>
          <w:rFonts w:hint="eastAsia"/>
          <w:lang w:eastAsia="zh-CN"/>
        </w:rPr>
        <w:t>四</w:t>
      </w:r>
      <w:r>
        <w:rPr>
          <w:rFonts w:hint="eastAsia"/>
        </w:rPr>
        <w:t xml:space="preserve"> </w:t>
      </w:r>
      <w:r>
        <w:rPr>
          <w:rFonts w:hint="eastAsia"/>
          <w:lang w:eastAsia="zh-CN"/>
        </w:rPr>
        <w:t>固废协议</w:t>
      </w:r>
      <w:bookmarkEnd w:id="243"/>
    </w:p>
    <w:p>
      <w:pPr>
        <w:pStyle w:val="47"/>
        <w:jc w:val="center"/>
        <w:rPr>
          <w:rFonts w:hint="eastAsia" w:eastAsia="宋体"/>
          <w:lang w:eastAsia="zh-CN"/>
        </w:rPr>
      </w:pPr>
      <w:r>
        <w:rPr>
          <w:rFonts w:hint="eastAsia" w:eastAsia="宋体"/>
          <w:lang w:eastAsia="zh-CN"/>
        </w:rPr>
        <w:drawing>
          <wp:inline distT="0" distB="0" distL="114300" distR="114300">
            <wp:extent cx="4595495" cy="8307705"/>
            <wp:effectExtent l="0" t="0" r="14605" b="17145"/>
            <wp:docPr id="1" name="图片 1" descr="164696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6966892(1)"/>
                    <pic:cNvPicPr>
                      <a:picLocks noChangeAspect="1"/>
                    </pic:cNvPicPr>
                  </pic:nvPicPr>
                  <pic:blipFill>
                    <a:blip r:embed="rId22"/>
                    <a:stretch>
                      <a:fillRect/>
                    </a:stretch>
                  </pic:blipFill>
                  <pic:spPr>
                    <a:xfrm>
                      <a:off x="0" y="0"/>
                      <a:ext cx="4595495" cy="8307705"/>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724400" cy="7917815"/>
            <wp:effectExtent l="0" t="0" r="0" b="6985"/>
            <wp:docPr id="13" name="图片 13" descr="1646966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6966950(1)"/>
                    <pic:cNvPicPr>
                      <a:picLocks noChangeAspect="1"/>
                    </pic:cNvPicPr>
                  </pic:nvPicPr>
                  <pic:blipFill>
                    <a:blip r:embed="rId23"/>
                    <a:stretch>
                      <a:fillRect/>
                    </a:stretch>
                  </pic:blipFill>
                  <pic:spPr>
                    <a:xfrm>
                      <a:off x="0" y="0"/>
                      <a:ext cx="4724400" cy="7917815"/>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432300" cy="7289800"/>
            <wp:effectExtent l="0" t="0" r="6350" b="6350"/>
            <wp:docPr id="14" name="图片 14" descr="1646966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6966976(1)"/>
                    <pic:cNvPicPr>
                      <a:picLocks noChangeAspect="1"/>
                    </pic:cNvPicPr>
                  </pic:nvPicPr>
                  <pic:blipFill>
                    <a:blip r:embed="rId24"/>
                    <a:stretch>
                      <a:fillRect/>
                    </a:stretch>
                  </pic:blipFill>
                  <pic:spPr>
                    <a:xfrm>
                      <a:off x="0" y="0"/>
                      <a:ext cx="4432300" cy="7289800"/>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572000" cy="7502525"/>
            <wp:effectExtent l="0" t="0" r="0" b="3175"/>
            <wp:docPr id="16" name="图片 16" descr="164696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46967000(1)"/>
                    <pic:cNvPicPr>
                      <a:picLocks noChangeAspect="1"/>
                    </pic:cNvPicPr>
                  </pic:nvPicPr>
                  <pic:blipFill>
                    <a:blip r:embed="rId25"/>
                    <a:stretch>
                      <a:fillRect/>
                    </a:stretch>
                  </pic:blipFill>
                  <pic:spPr>
                    <a:xfrm>
                      <a:off x="0" y="0"/>
                      <a:ext cx="4572000" cy="7502525"/>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613910" cy="7666990"/>
            <wp:effectExtent l="0" t="0" r="15240" b="10160"/>
            <wp:docPr id="20" name="图片 20" descr="1646967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46967025(1)"/>
                    <pic:cNvPicPr>
                      <a:picLocks noChangeAspect="1"/>
                    </pic:cNvPicPr>
                  </pic:nvPicPr>
                  <pic:blipFill>
                    <a:blip r:embed="rId26"/>
                    <a:stretch>
                      <a:fillRect/>
                    </a:stretch>
                  </pic:blipFill>
                  <pic:spPr>
                    <a:xfrm>
                      <a:off x="0" y="0"/>
                      <a:ext cx="4613910" cy="7666990"/>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563745" cy="7720330"/>
            <wp:effectExtent l="0" t="0" r="8255" b="13970"/>
            <wp:docPr id="21" name="图片 21" descr="1646967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6967048(1)"/>
                    <pic:cNvPicPr>
                      <a:picLocks noChangeAspect="1"/>
                    </pic:cNvPicPr>
                  </pic:nvPicPr>
                  <pic:blipFill>
                    <a:blip r:embed="rId27"/>
                    <a:stretch>
                      <a:fillRect/>
                    </a:stretch>
                  </pic:blipFill>
                  <pic:spPr>
                    <a:xfrm>
                      <a:off x="0" y="0"/>
                      <a:ext cx="4563745" cy="7720330"/>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679950" cy="7650480"/>
            <wp:effectExtent l="0" t="0" r="6350" b="7620"/>
            <wp:docPr id="22" name="图片 22" descr="1646967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46967070(1)"/>
                    <pic:cNvPicPr>
                      <a:picLocks noChangeAspect="1"/>
                    </pic:cNvPicPr>
                  </pic:nvPicPr>
                  <pic:blipFill>
                    <a:blip r:embed="rId28"/>
                    <a:stretch>
                      <a:fillRect/>
                    </a:stretch>
                  </pic:blipFill>
                  <pic:spPr>
                    <a:xfrm>
                      <a:off x="0" y="0"/>
                      <a:ext cx="4679950" cy="7650480"/>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669790" cy="6610985"/>
            <wp:effectExtent l="0" t="0" r="16510" b="18415"/>
            <wp:docPr id="24" name="图片 24" descr="164696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46967096(1)"/>
                    <pic:cNvPicPr>
                      <a:picLocks noChangeAspect="1"/>
                    </pic:cNvPicPr>
                  </pic:nvPicPr>
                  <pic:blipFill>
                    <a:blip r:embed="rId29"/>
                    <a:stretch>
                      <a:fillRect/>
                    </a:stretch>
                  </pic:blipFill>
                  <pic:spPr>
                    <a:xfrm>
                      <a:off x="0" y="0"/>
                      <a:ext cx="4669790" cy="6610985"/>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620260" cy="7089775"/>
            <wp:effectExtent l="0" t="0" r="8890" b="15875"/>
            <wp:docPr id="25" name="图片 25" descr="1646967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46967121(1)"/>
                    <pic:cNvPicPr>
                      <a:picLocks noChangeAspect="1"/>
                    </pic:cNvPicPr>
                  </pic:nvPicPr>
                  <pic:blipFill>
                    <a:blip r:embed="rId30"/>
                    <a:stretch>
                      <a:fillRect/>
                    </a:stretch>
                  </pic:blipFill>
                  <pic:spPr>
                    <a:xfrm>
                      <a:off x="0" y="0"/>
                      <a:ext cx="4620260" cy="7089775"/>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745355" cy="7253605"/>
            <wp:effectExtent l="0" t="0" r="17145" b="4445"/>
            <wp:docPr id="26" name="图片 26" descr="1646967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46967141(1)"/>
                    <pic:cNvPicPr>
                      <a:picLocks noChangeAspect="1"/>
                    </pic:cNvPicPr>
                  </pic:nvPicPr>
                  <pic:blipFill>
                    <a:blip r:embed="rId31"/>
                    <a:stretch>
                      <a:fillRect/>
                    </a:stretch>
                  </pic:blipFill>
                  <pic:spPr>
                    <a:xfrm>
                      <a:off x="0" y="0"/>
                      <a:ext cx="4745355" cy="7253605"/>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813935" cy="7759700"/>
            <wp:effectExtent l="0" t="0" r="5715" b="12700"/>
            <wp:docPr id="27" name="图片 27" descr="1646967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6967162(1)"/>
                    <pic:cNvPicPr>
                      <a:picLocks noChangeAspect="1"/>
                    </pic:cNvPicPr>
                  </pic:nvPicPr>
                  <pic:blipFill>
                    <a:blip r:embed="rId32"/>
                    <a:stretch>
                      <a:fillRect/>
                    </a:stretch>
                  </pic:blipFill>
                  <pic:spPr>
                    <a:xfrm>
                      <a:off x="0" y="0"/>
                      <a:ext cx="4813935" cy="7759700"/>
                    </a:xfrm>
                    <a:prstGeom prst="rect">
                      <a:avLst/>
                    </a:prstGeom>
                  </pic:spPr>
                </pic:pic>
              </a:graphicData>
            </a:graphic>
          </wp:inline>
        </w:drawing>
      </w:r>
    </w:p>
    <w:p>
      <w:pPr>
        <w:pStyle w:val="47"/>
        <w:jc w:val="center"/>
        <w:rPr>
          <w:rFonts w:hint="eastAsia" w:eastAsia="宋体"/>
          <w:lang w:eastAsia="zh-CN"/>
        </w:rPr>
      </w:pPr>
      <w:r>
        <w:rPr>
          <w:rFonts w:hint="eastAsia" w:eastAsia="宋体"/>
          <w:lang w:eastAsia="zh-CN"/>
        </w:rPr>
        <w:drawing>
          <wp:inline distT="0" distB="0" distL="114300" distR="114300">
            <wp:extent cx="4664710" cy="7240905"/>
            <wp:effectExtent l="0" t="0" r="2540" b="17145"/>
            <wp:docPr id="28" name="图片 28" descr="1646967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6967182(1)"/>
                    <pic:cNvPicPr>
                      <a:picLocks noChangeAspect="1"/>
                    </pic:cNvPicPr>
                  </pic:nvPicPr>
                  <pic:blipFill>
                    <a:blip r:embed="rId33"/>
                    <a:stretch>
                      <a:fillRect/>
                    </a:stretch>
                  </pic:blipFill>
                  <pic:spPr>
                    <a:xfrm>
                      <a:off x="0" y="0"/>
                      <a:ext cx="4664710" cy="7240905"/>
                    </a:xfrm>
                    <a:prstGeom prst="rect">
                      <a:avLst/>
                    </a:prstGeom>
                  </pic:spPr>
                </pic:pic>
              </a:graphicData>
            </a:graphic>
          </wp:inline>
        </w:drawing>
      </w:r>
    </w:p>
    <w:p>
      <w:pPr>
        <w:pStyle w:val="47"/>
        <w:jc w:val="center"/>
        <w:rPr>
          <w:rFonts w:hint="eastAsia" w:eastAsia="宋体"/>
          <w:lang w:eastAsia="zh-CN"/>
        </w:rPr>
      </w:pPr>
    </w:p>
    <w:p>
      <w:pPr>
        <w:pStyle w:val="47"/>
      </w:pPr>
    </w:p>
    <w:p>
      <w:pPr>
        <w:pStyle w:val="47"/>
        <w:sectPr>
          <w:pgSz w:w="11907" w:h="16840"/>
          <w:pgMar w:top="1418" w:right="1701" w:bottom="1418" w:left="1701" w:header="1134" w:footer="1134" w:gutter="0"/>
          <w:pgBorders>
            <w:top w:val="none" w:sz="0" w:space="0"/>
            <w:left w:val="none" w:sz="0" w:space="0"/>
            <w:bottom w:val="none" w:sz="0" w:space="0"/>
            <w:right w:val="none" w:sz="0" w:space="0"/>
          </w:pgBorders>
          <w:pgNumType w:fmt="numberInDash"/>
          <w:cols w:space="425" w:num="1"/>
          <w:docGrid w:linePitch="312" w:charSpace="0"/>
        </w:sectPr>
      </w:pPr>
    </w:p>
    <w:tbl>
      <w:tblPr>
        <w:tblStyle w:val="37"/>
        <w:tblW w:w="5000" w:type="pct"/>
        <w:tblInd w:w="0" w:type="dxa"/>
        <w:tblLayout w:type="autofit"/>
        <w:tblCellMar>
          <w:top w:w="0" w:type="dxa"/>
          <w:left w:w="108" w:type="dxa"/>
          <w:bottom w:w="0" w:type="dxa"/>
          <w:right w:w="108" w:type="dxa"/>
        </w:tblCellMar>
      </w:tblPr>
      <w:tblGrid>
        <w:gridCol w:w="389"/>
        <w:gridCol w:w="261"/>
        <w:gridCol w:w="548"/>
        <w:gridCol w:w="1422"/>
        <w:gridCol w:w="475"/>
        <w:gridCol w:w="319"/>
        <w:gridCol w:w="1027"/>
        <w:gridCol w:w="455"/>
        <w:gridCol w:w="552"/>
        <w:gridCol w:w="833"/>
        <w:gridCol w:w="307"/>
        <w:gridCol w:w="242"/>
        <w:gridCol w:w="606"/>
        <w:gridCol w:w="1061"/>
        <w:gridCol w:w="1015"/>
        <w:gridCol w:w="1018"/>
        <w:gridCol w:w="978"/>
        <w:gridCol w:w="549"/>
        <w:gridCol w:w="464"/>
        <w:gridCol w:w="890"/>
        <w:gridCol w:w="353"/>
        <w:gridCol w:w="455"/>
      </w:tblGrid>
      <w:tr>
        <w:tblPrEx>
          <w:tblCellMar>
            <w:top w:w="0" w:type="dxa"/>
            <w:left w:w="108" w:type="dxa"/>
            <w:bottom w:w="0" w:type="dxa"/>
            <w:right w:w="108" w:type="dxa"/>
          </w:tblCellMar>
        </w:tblPrEx>
        <w:trPr>
          <w:trHeight w:val="249" w:hRule="atLeast"/>
        </w:trPr>
        <w:tc>
          <w:tcPr>
            <w:tcW w:w="5000" w:type="pct"/>
            <w:gridSpan w:val="22"/>
            <w:tcBorders>
              <w:top w:val="nil"/>
              <w:left w:val="nil"/>
              <w:bottom w:val="nil"/>
              <w:right w:val="nil"/>
            </w:tcBorders>
            <w:shd w:val="clear" w:color="auto" w:fill="auto"/>
            <w:vAlign w:val="center"/>
          </w:tcPr>
          <w:p>
            <w:pPr>
              <w:widowControl/>
              <w:ind w:firstLine="3087" w:firstLineChars="2050"/>
              <w:rPr>
                <w:rFonts w:ascii="宋体" w:hAnsi="宋体" w:cs="宋体"/>
                <w:b/>
                <w:bCs/>
                <w:kern w:val="0"/>
                <w:sz w:val="15"/>
                <w:szCs w:val="15"/>
              </w:rPr>
            </w:pPr>
          </w:p>
          <w:p>
            <w:pPr>
              <w:widowControl/>
              <w:ind w:firstLine="3614" w:firstLineChars="1200"/>
              <w:rPr>
                <w:rFonts w:ascii="宋体" w:hAnsi="宋体" w:cs="宋体"/>
                <w:b/>
                <w:bCs/>
                <w:kern w:val="0"/>
                <w:sz w:val="30"/>
                <w:szCs w:val="30"/>
              </w:rPr>
            </w:pPr>
            <w:r>
              <w:rPr>
                <w:rFonts w:hint="eastAsia" w:ascii="宋体" w:hAnsi="宋体" w:cs="宋体"/>
                <w:b/>
                <w:bCs/>
                <w:kern w:val="0"/>
                <w:sz w:val="30"/>
                <w:szCs w:val="30"/>
              </w:rPr>
              <w:t>建设项目工程竣工环境保护“三同时”验收登记表</w:t>
            </w:r>
          </w:p>
        </w:tc>
      </w:tr>
      <w:tr>
        <w:tblPrEx>
          <w:tblCellMar>
            <w:top w:w="0" w:type="dxa"/>
            <w:left w:w="108" w:type="dxa"/>
            <w:bottom w:w="0" w:type="dxa"/>
            <w:right w:w="108" w:type="dxa"/>
          </w:tblCellMar>
        </w:tblPrEx>
        <w:trPr>
          <w:trHeight w:val="249" w:hRule="atLeast"/>
        </w:trPr>
        <w:tc>
          <w:tcPr>
            <w:tcW w:w="5000" w:type="pct"/>
            <w:gridSpan w:val="22"/>
            <w:tcBorders>
              <w:top w:val="nil"/>
              <w:left w:val="nil"/>
              <w:bottom w:val="single" w:color="auto" w:sz="4" w:space="0"/>
              <w:right w:val="nil"/>
            </w:tcBorders>
            <w:shd w:val="clear" w:color="auto" w:fill="auto"/>
            <w:vAlign w:val="center"/>
          </w:tcPr>
          <w:p>
            <w:pPr>
              <w:widowControl/>
              <w:ind w:right="976" w:rightChars="465" w:firstLine="990" w:firstLineChars="550"/>
              <w:rPr>
                <w:rFonts w:ascii="宋体" w:hAnsi="宋体" w:cs="宋体"/>
                <w:kern w:val="0"/>
                <w:sz w:val="15"/>
                <w:szCs w:val="15"/>
              </w:rPr>
            </w:pPr>
            <w:r>
              <w:rPr>
                <w:rFonts w:hint="eastAsia" w:ascii="宋体" w:hAnsi="宋体" w:cs="宋体"/>
                <w:kern w:val="0"/>
                <w:sz w:val="18"/>
                <w:szCs w:val="18"/>
              </w:rPr>
              <w:t>填表单位（盖章）：</w:t>
            </w:r>
            <w:r>
              <w:rPr>
                <w:rFonts w:hint="eastAsia"/>
                <w:sz w:val="18"/>
                <w:szCs w:val="18"/>
                <w:lang w:eastAsia="zh-CN"/>
              </w:rPr>
              <w:t>宁波市海曙古林宏通印花厂（普通合伙）</w:t>
            </w:r>
            <w:r>
              <w:rPr>
                <w:rFonts w:hint="eastAsia"/>
                <w:sz w:val="18"/>
                <w:szCs w:val="18"/>
                <w:lang w:val="en-US" w:eastAsia="zh-CN"/>
              </w:rPr>
              <w:t xml:space="preserve">     </w:t>
            </w:r>
            <w:r>
              <w:rPr>
                <w:rFonts w:hint="eastAsia" w:ascii="宋体" w:hAnsi="宋体" w:cs="宋体"/>
                <w:kern w:val="0"/>
                <w:sz w:val="18"/>
                <w:szCs w:val="18"/>
              </w:rPr>
              <w:t xml:space="preserve"> 填表人（签字）：        </w:t>
            </w:r>
            <w:r>
              <w:rPr>
                <w:rFonts w:ascii="宋体" w:hAnsi="宋体" w:cs="宋体"/>
                <w:kern w:val="0"/>
                <w:sz w:val="18"/>
                <w:szCs w:val="18"/>
              </w:rPr>
              <w:t xml:space="preserve"> </w:t>
            </w:r>
            <w:r>
              <w:rPr>
                <w:rFonts w:hint="eastAsia" w:ascii="宋体" w:hAnsi="宋体" w:cs="宋体"/>
                <w:kern w:val="0"/>
                <w:sz w:val="18"/>
                <w:szCs w:val="18"/>
              </w:rPr>
              <w:t xml:space="preserve">              项目经办人（签字）</w:t>
            </w:r>
            <w:r>
              <w:rPr>
                <w:rFonts w:hint="eastAsia" w:ascii="宋体" w:hAnsi="宋体" w:cs="宋体"/>
                <w:kern w:val="0"/>
                <w:sz w:val="15"/>
                <w:szCs w:val="15"/>
              </w:rPr>
              <w:t>：</w:t>
            </w:r>
          </w:p>
        </w:tc>
      </w:tr>
      <w:tr>
        <w:tblPrEx>
          <w:tblCellMar>
            <w:top w:w="0" w:type="dxa"/>
            <w:left w:w="108" w:type="dxa"/>
            <w:bottom w:w="0" w:type="dxa"/>
            <w:right w:w="108" w:type="dxa"/>
          </w:tblCellMar>
        </w:tblPrEx>
        <w:trPr>
          <w:trHeight w:val="249" w:hRule="atLeast"/>
        </w:trPr>
        <w:tc>
          <w:tcPr>
            <w:tcW w:w="13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建设项目</w:t>
            </w: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项目名称</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hAnsi="宋体"/>
                <w:sz w:val="15"/>
                <w:szCs w:val="15"/>
                <w:lang w:val="en-US" w:eastAsia="zh-CN"/>
              </w:rPr>
              <w:t>宁波市海曙古林宏通印花厂（普通合伙）</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color w:val="000000" w:themeColor="text1"/>
                <w:kern w:val="0"/>
                <w:sz w:val="15"/>
                <w:szCs w:val="15"/>
                <w14:textFill>
                  <w14:solidFill>
                    <w14:schemeClr w14:val="tx1"/>
                  </w14:solidFill>
                </w14:textFill>
              </w:rPr>
            </w:pPr>
            <w:r>
              <w:rPr>
                <w:rFonts w:hint="eastAsia" w:ascii="宋体" w:hAnsi="宋体" w:cs="宋体"/>
                <w:b/>
                <w:bCs/>
                <w:color w:val="000000" w:themeColor="text1"/>
                <w:kern w:val="0"/>
                <w:sz w:val="15"/>
                <w:szCs w:val="15"/>
                <w14:textFill>
                  <w14:solidFill>
                    <w14:schemeClr w14:val="tx1"/>
                  </w14:solidFill>
                </w14:textFill>
              </w:rPr>
              <w:t>项目代码</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Ansi="宋体"/>
                <w:color w:val="000000" w:themeColor="text1"/>
                <w:sz w:val="15"/>
                <w:szCs w:val="15"/>
                <w14:textFill>
                  <w14:solidFill>
                    <w14:schemeClr w14:val="tx1"/>
                  </w14:solidFill>
                </w14:textFill>
              </w:rPr>
            </w:pP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建设地点</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hAnsi="宋体"/>
                <w:sz w:val="15"/>
                <w:szCs w:val="15"/>
                <w:lang w:val="en-US" w:eastAsia="zh-CN"/>
              </w:rPr>
              <w:t>浙江省宁波市海曙区古林镇蜃蛟村</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color w:val="000000" w:themeColor="text1"/>
                <w:kern w:val="0"/>
                <w:sz w:val="15"/>
                <w:szCs w:val="15"/>
                <w14:textFill>
                  <w14:solidFill>
                    <w14:schemeClr w14:val="tx1"/>
                  </w14:solidFill>
                </w14:textFill>
              </w:rPr>
              <w:t>行业类别（分类管理名录）</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rPr>
              <w:t>C</w:t>
            </w:r>
            <w:r>
              <w:rPr>
                <w:rFonts w:hint="eastAsia" w:ascii="宋体" w:hAnsi="宋体" w:cs="宋体"/>
                <w:kern w:val="0"/>
                <w:sz w:val="15"/>
                <w:szCs w:val="15"/>
                <w:lang w:val="en-US" w:eastAsia="zh-CN"/>
              </w:rPr>
              <w:t>1712棉、化纤印染精加工</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建设性质</w:t>
            </w:r>
          </w:p>
        </w:tc>
        <w:tc>
          <w:tcPr>
            <w:tcW w:w="2012" w:type="pct"/>
            <w:gridSpan w:val="8"/>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b/>
                <w:bCs/>
                <w:kern w:val="0"/>
                <w:sz w:val="15"/>
                <w:szCs w:val="15"/>
              </w:rPr>
              <w:sym w:font="Wingdings 2" w:char="0052"/>
            </w:r>
            <w:r>
              <w:rPr>
                <w:rFonts w:hint="eastAsia" w:ascii="宋体" w:hAnsi="宋体" w:cs="宋体"/>
                <w:b/>
                <w:bCs/>
                <w:kern w:val="0"/>
                <w:sz w:val="15"/>
                <w:szCs w:val="15"/>
              </w:rPr>
              <w:t xml:space="preserve">新建   </w:t>
            </w:r>
            <w:r>
              <w:rPr>
                <w:rFonts w:hint="eastAsia" w:ascii="宋体" w:hAnsi="宋体" w:cs="宋体"/>
                <w:b/>
                <w:bCs/>
                <w:kern w:val="0"/>
                <w:sz w:val="15"/>
                <w:szCs w:val="15"/>
              </w:rPr>
              <w:sym w:font="Wingdings 2" w:char="00A3"/>
            </w:r>
            <w:r>
              <w:rPr>
                <w:rFonts w:hint="eastAsia" w:ascii="宋体" w:hAnsi="宋体" w:cs="宋体"/>
                <w:b/>
                <w:bCs/>
                <w:kern w:val="0"/>
                <w:sz w:val="15"/>
                <w:szCs w:val="15"/>
              </w:rPr>
              <w:t xml:space="preserve">改扩建   </w:t>
            </w:r>
            <w:r>
              <w:rPr>
                <w:rFonts w:hint="eastAsia" w:ascii="宋体" w:hAnsi="宋体" w:cs="宋体"/>
                <w:b/>
                <w:bCs/>
                <w:kern w:val="0"/>
                <w:sz w:val="15"/>
                <w:szCs w:val="15"/>
              </w:rPr>
              <w:sym w:font="Wingdings 2" w:char="00A3"/>
            </w:r>
            <w:r>
              <w:rPr>
                <w:rFonts w:hint="eastAsia" w:ascii="宋体" w:hAnsi="宋体" w:cs="宋体"/>
                <w:b/>
                <w:bCs/>
                <w:kern w:val="0"/>
                <w:sz w:val="15"/>
                <w:szCs w:val="15"/>
              </w:rPr>
              <w:t xml:space="preserve">技术改造   </w:t>
            </w:r>
          </w:p>
        </w:tc>
      </w:tr>
      <w:tr>
        <w:tblPrEx>
          <w:tblCellMar>
            <w:top w:w="0" w:type="dxa"/>
            <w:left w:w="108" w:type="dxa"/>
            <w:bottom w:w="0" w:type="dxa"/>
            <w:right w:w="108" w:type="dxa"/>
          </w:tblCellMar>
        </w:tblPrEx>
        <w:trPr>
          <w:trHeight w:val="376"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设计生产能力</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年产值50万片</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实际生产能力</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年产值50万片</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环评单位</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宁波市鄞州兴达环保工程有限公司</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环评文件审批机关</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宁波市鄞州区环境保护局</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审批文号</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color w:val="000000" w:themeColor="text1"/>
                <w:kern w:val="0"/>
                <w:sz w:val="15"/>
                <w:szCs w:val="15"/>
                <w:lang w:val="en-US" w:eastAsia="zh-CN"/>
                <w14:textFill>
                  <w14:solidFill>
                    <w14:schemeClr w14:val="tx1"/>
                  </w14:solidFill>
                </w14:textFill>
              </w:rPr>
              <w:t>/</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环评文件类型</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报告表</w:t>
            </w:r>
          </w:p>
        </w:tc>
      </w:tr>
      <w:tr>
        <w:tblPrEx>
          <w:tblCellMar>
            <w:top w:w="0" w:type="dxa"/>
            <w:left w:w="108" w:type="dxa"/>
            <w:bottom w:w="0" w:type="dxa"/>
            <w:right w:w="108" w:type="dxa"/>
          </w:tblCellMar>
        </w:tblPrEx>
        <w:trPr>
          <w:trHeight w:val="60"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开工日期</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已投产</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竣工日期</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2006.7.15</w:t>
            </w:r>
          </w:p>
        </w:tc>
        <w:tc>
          <w:tcPr>
            <w:tcW w:w="53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排污许可证申领时间</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p>
        </w:tc>
      </w:tr>
      <w:tr>
        <w:tblPrEx>
          <w:tblCellMar>
            <w:top w:w="0" w:type="dxa"/>
            <w:left w:w="108" w:type="dxa"/>
            <w:bottom w:w="0" w:type="dxa"/>
            <w:right w:w="108" w:type="dxa"/>
          </w:tblCellMar>
        </w:tblPrEx>
        <w:trPr>
          <w:trHeight w:val="413"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环保设施设计单位</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hAnsi="宋体"/>
                <w:sz w:val="15"/>
                <w:szCs w:val="15"/>
                <w:lang w:val="en-US" w:eastAsia="zh-CN"/>
              </w:rPr>
              <w:t>宁波市海曙古林宏通印花厂（普通合伙）</w:t>
            </w:r>
          </w:p>
        </w:tc>
        <w:tc>
          <w:tcPr>
            <w:tcW w:w="671" w:type="pct"/>
            <w:gridSpan w:val="3"/>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环保设施施工单位</w:t>
            </w:r>
          </w:p>
        </w:tc>
        <w:tc>
          <w:tcPr>
            <w:tcW w:w="715" w:type="pct"/>
            <w:gridSpan w:val="2"/>
            <w:tcBorders>
              <w:top w:val="nil"/>
              <w:left w:val="nil"/>
              <w:bottom w:val="nil"/>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hAnsi="宋体"/>
                <w:sz w:val="15"/>
                <w:szCs w:val="15"/>
                <w:lang w:val="en-US" w:eastAsia="zh-CN"/>
              </w:rPr>
              <w:t>宁波市海曙古林宏通印花厂（普通合伙）</w:t>
            </w:r>
          </w:p>
        </w:tc>
        <w:tc>
          <w:tcPr>
            <w:tcW w:w="537" w:type="pct"/>
            <w:gridSpan w:val="2"/>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工程排污许可证编号</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60"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验收单位</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15"/>
                <w:szCs w:val="15"/>
                <w:lang w:eastAsia="zh-CN"/>
              </w:rPr>
            </w:pPr>
            <w:r>
              <w:rPr>
                <w:rFonts w:hint="eastAsia" w:hAnsi="宋体"/>
                <w:sz w:val="15"/>
                <w:szCs w:val="15"/>
                <w:lang w:val="en-US" w:eastAsia="zh-CN"/>
              </w:rPr>
              <w:t>宁波市海曙古林宏通印花厂（普通合伙）</w:t>
            </w:r>
          </w:p>
        </w:tc>
        <w:tc>
          <w:tcPr>
            <w:tcW w:w="671"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环保设施监测单位</w:t>
            </w:r>
          </w:p>
        </w:tc>
        <w:tc>
          <w:tcPr>
            <w:tcW w:w="715"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浙江诚德检测研究有限公司</w:t>
            </w:r>
          </w:p>
        </w:tc>
        <w:tc>
          <w:tcPr>
            <w:tcW w:w="53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验收监测时工况</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15"/>
                <w:szCs w:val="15"/>
                <w:lang w:eastAsia="zh-CN"/>
              </w:rPr>
            </w:pPr>
            <w:r>
              <w:rPr>
                <w:rFonts w:hint="eastAsia" w:ascii="宋体" w:hAnsi="宋体" w:cs="宋体"/>
                <w:kern w:val="0"/>
                <w:sz w:val="15"/>
                <w:szCs w:val="15"/>
                <w:lang w:val="en-US" w:eastAsia="zh-CN"/>
              </w:rPr>
              <w:t>/</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投资总概算（万元）</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15</w:t>
            </w:r>
          </w:p>
        </w:tc>
        <w:tc>
          <w:tcPr>
            <w:tcW w:w="671"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环保投资总概算（万元）</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3</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所占比例(%)</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20%</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实际总投资</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15</w:t>
            </w:r>
            <w:r>
              <w:rPr>
                <w:rFonts w:hint="eastAsia" w:ascii="宋体" w:hAnsi="宋体" w:cs="宋体"/>
                <w:kern w:val="0"/>
                <w:sz w:val="15"/>
                <w:szCs w:val="15"/>
              </w:rPr>
              <w:t>万元</w:t>
            </w:r>
          </w:p>
        </w:tc>
        <w:tc>
          <w:tcPr>
            <w:tcW w:w="671"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实际环保投资（万元）</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3</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所占比例(%)</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20%</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废水治理（万元）</w:t>
            </w:r>
          </w:p>
        </w:tc>
        <w:tc>
          <w:tcPr>
            <w:tcW w:w="167" w:type="pct"/>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1</w:t>
            </w:r>
          </w:p>
        </w:tc>
        <w:tc>
          <w:tcPr>
            <w:tcW w:w="473"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废气治理（万元）</w:t>
            </w:r>
          </w:p>
        </w:tc>
        <w:tc>
          <w:tcPr>
            <w:tcW w:w="160" w:type="pct"/>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1.7</w:t>
            </w:r>
          </w:p>
        </w:tc>
        <w:tc>
          <w:tcPr>
            <w:tcW w:w="48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噪声治理（万元）</w:t>
            </w:r>
          </w:p>
        </w:tc>
        <w:tc>
          <w:tcPr>
            <w:tcW w:w="193"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0.2</w:t>
            </w:r>
          </w:p>
        </w:tc>
        <w:tc>
          <w:tcPr>
            <w:tcW w:w="58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固体废物治理（万元）</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0.1</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绿化及生态（万元）</w:t>
            </w:r>
          </w:p>
        </w:tc>
        <w:tc>
          <w:tcPr>
            <w:tcW w:w="163"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437"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其他（万元）</w:t>
            </w:r>
          </w:p>
        </w:tc>
        <w:tc>
          <w:tcPr>
            <w:tcW w:w="160"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新增废水处理设施能力</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671"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新增废气处理设施能力</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color w:val="000000" w:themeColor="text1"/>
                <w:kern w:val="0"/>
                <w:sz w:val="15"/>
                <w:szCs w:val="15"/>
                <w14:textFill>
                  <w14:solidFill>
                    <w14:schemeClr w14:val="tx1"/>
                  </w14:solidFill>
                </w14:textFill>
              </w:rPr>
              <w:t>年平均工作时</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cs="宋体"/>
                <w:kern w:val="0"/>
                <w:sz w:val="15"/>
                <w:szCs w:val="15"/>
                <w:highlight w:val="yellow"/>
                <w:lang w:val="en-US"/>
              </w:rPr>
            </w:pPr>
            <w:r>
              <w:rPr>
                <w:rFonts w:hint="eastAsia" w:ascii="宋体" w:hAnsi="宋体" w:cs="宋体"/>
                <w:color w:val="000000" w:themeColor="text1"/>
                <w:kern w:val="0"/>
                <w:sz w:val="15"/>
                <w:szCs w:val="15"/>
                <w:lang w:val="en-US" w:eastAsia="zh-CN"/>
                <w14:textFill>
                  <w14:solidFill>
                    <w14:schemeClr w14:val="tx1"/>
                  </w14:solidFill>
                </w14:textFill>
              </w:rPr>
              <w:t>2400</w:t>
            </w:r>
          </w:p>
        </w:tc>
      </w:tr>
      <w:tr>
        <w:tblPrEx>
          <w:tblCellMar>
            <w:top w:w="0" w:type="dxa"/>
            <w:left w:w="108" w:type="dxa"/>
            <w:bottom w:w="0" w:type="dxa"/>
            <w:right w:w="108" w:type="dxa"/>
          </w:tblCellMar>
        </w:tblPrEx>
        <w:trPr>
          <w:trHeight w:val="249" w:hRule="atLeast"/>
        </w:trPr>
        <w:tc>
          <w:tcPr>
            <w:tcW w:w="921" w:type="pct"/>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运营单位</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hAnsi="宋体"/>
                <w:sz w:val="15"/>
                <w:szCs w:val="15"/>
                <w:lang w:val="en-US" w:eastAsia="zh-CN"/>
              </w:rPr>
              <w:t>宁波市海曙古林宏通印花厂（普通合伙）</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运营单位社会统一信用代码（或组织机构代码）</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color w:val="000000" w:themeColor="text1"/>
                <w:kern w:val="0"/>
                <w:sz w:val="15"/>
                <w:szCs w:val="15"/>
                <w:lang w:val="en-US" w:eastAsia="zh-CN"/>
                <w14:textFill>
                  <w14:solidFill>
                    <w14:schemeClr w14:val="tx1"/>
                  </w14:solidFill>
                </w14:textFill>
              </w:rPr>
              <w:t>/</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color w:val="000000" w:themeColor="text1"/>
                <w:kern w:val="0"/>
                <w:sz w:val="15"/>
                <w:szCs w:val="15"/>
                <w14:textFill>
                  <w14:solidFill>
                    <w14:schemeClr w14:val="tx1"/>
                  </w14:solidFill>
                </w14:textFill>
              </w:rPr>
            </w:pPr>
            <w:r>
              <w:rPr>
                <w:rFonts w:hint="eastAsia" w:ascii="宋体" w:hAnsi="宋体" w:cs="宋体"/>
                <w:b/>
                <w:bCs/>
                <w:color w:val="000000" w:themeColor="text1"/>
                <w:kern w:val="0"/>
                <w:sz w:val="15"/>
                <w:szCs w:val="15"/>
                <w14:textFill>
                  <w14:solidFill>
                    <w14:schemeClr w14:val="tx1"/>
                  </w14:solidFill>
                </w14:textFill>
              </w:rPr>
              <w:t>验收时间</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202</w:t>
            </w:r>
            <w:r>
              <w:rPr>
                <w:rFonts w:hint="eastAsia" w:ascii="宋体" w:hAnsi="宋体" w:cs="宋体"/>
                <w:kern w:val="0"/>
                <w:sz w:val="15"/>
                <w:szCs w:val="15"/>
                <w:lang w:val="en-US" w:eastAsia="zh-CN"/>
              </w:rPr>
              <w:t>2</w:t>
            </w:r>
            <w:r>
              <w:rPr>
                <w:rFonts w:hint="eastAsia" w:ascii="宋体" w:hAnsi="宋体" w:cs="宋体"/>
                <w:kern w:val="0"/>
                <w:sz w:val="15"/>
                <w:szCs w:val="15"/>
              </w:rPr>
              <w:t>年</w:t>
            </w:r>
            <w:r>
              <w:rPr>
                <w:rFonts w:hint="eastAsia" w:ascii="宋体" w:hAnsi="宋体" w:cs="宋体"/>
                <w:kern w:val="0"/>
                <w:sz w:val="15"/>
                <w:szCs w:val="15"/>
                <w:lang w:val="en-US" w:eastAsia="zh-CN"/>
              </w:rPr>
              <w:t>2</w:t>
            </w:r>
            <w:r>
              <w:rPr>
                <w:rFonts w:hint="eastAsia" w:ascii="宋体" w:hAnsi="宋体" w:cs="宋体"/>
                <w:kern w:val="0"/>
                <w:sz w:val="15"/>
                <w:szCs w:val="15"/>
              </w:rPr>
              <w:t>月</w:t>
            </w:r>
          </w:p>
        </w:tc>
      </w:tr>
      <w:tr>
        <w:tblPrEx>
          <w:tblCellMar>
            <w:top w:w="0" w:type="dxa"/>
            <w:left w:w="108" w:type="dxa"/>
            <w:bottom w:w="0" w:type="dxa"/>
            <w:right w:w="108" w:type="dxa"/>
          </w:tblCellMar>
        </w:tblPrEx>
        <w:trPr>
          <w:trHeight w:val="539" w:hRule="atLeast"/>
        </w:trPr>
        <w:tc>
          <w:tcPr>
            <w:tcW w:w="229" w:type="pct"/>
            <w:gridSpan w:val="2"/>
            <w:vMerge w:val="restart"/>
            <w:tcBorders>
              <w:top w:val="single" w:color="auto" w:sz="4" w:space="0"/>
              <w:left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污染物排放达标与总量控制（工业建设项目详填）</w:t>
            </w: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污染物</w:t>
            </w:r>
          </w:p>
        </w:tc>
        <w:tc>
          <w:tcPr>
            <w:tcW w:w="279"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原有排放量（1）</w:t>
            </w:r>
          </w:p>
        </w:tc>
        <w:tc>
          <w:tcPr>
            <w:tcW w:w="36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本期工程实际排放浓度（2）</w:t>
            </w:r>
          </w:p>
        </w:tc>
        <w:tc>
          <w:tcPr>
            <w:tcW w:w="354"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本期工程允许排放浓度（3）</w:t>
            </w:r>
          </w:p>
        </w:tc>
        <w:tc>
          <w:tcPr>
            <w:tcW w:w="401"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本期工程产生量（4）</w:t>
            </w:r>
          </w:p>
        </w:tc>
        <w:tc>
          <w:tcPr>
            <w:tcW w:w="298"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本期工程自身削减量（5）</w:t>
            </w:r>
          </w:p>
        </w:tc>
        <w:tc>
          <w:tcPr>
            <w:tcW w:w="37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本期工程实际排放量（6）</w:t>
            </w:r>
          </w:p>
        </w:tc>
        <w:tc>
          <w:tcPr>
            <w:tcW w:w="3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highlight w:val="yellow"/>
              </w:rPr>
            </w:pPr>
            <w:r>
              <w:rPr>
                <w:rFonts w:hint="eastAsia" w:ascii="宋体" w:hAnsi="宋体" w:cs="宋体"/>
                <w:b/>
                <w:bCs/>
                <w:kern w:val="0"/>
                <w:sz w:val="15"/>
                <w:szCs w:val="15"/>
              </w:rPr>
              <w:t>本期工程核定排放总量（7）</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highlight w:val="yellow"/>
              </w:rPr>
            </w:pPr>
            <w:r>
              <w:rPr>
                <w:rFonts w:hint="eastAsia" w:ascii="宋体" w:hAnsi="宋体" w:cs="宋体"/>
                <w:b/>
                <w:bCs/>
                <w:kern w:val="0"/>
                <w:sz w:val="15"/>
                <w:szCs w:val="15"/>
              </w:rPr>
              <w:t>本期工程”以新带老”削减量（8）</w:t>
            </w:r>
          </w:p>
        </w:tc>
        <w:tc>
          <w:tcPr>
            <w:tcW w:w="34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全厂实际排放总量（9）</w:t>
            </w:r>
          </w:p>
        </w:tc>
        <w:tc>
          <w:tcPr>
            <w:tcW w:w="356"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 xml:space="preserve">全厂核定排放总量（10） </w:t>
            </w:r>
          </w:p>
        </w:tc>
        <w:tc>
          <w:tcPr>
            <w:tcW w:w="31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区域平衡替代削减量（11）</w:t>
            </w:r>
          </w:p>
        </w:tc>
        <w:tc>
          <w:tcPr>
            <w:tcW w:w="284"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排放增减量（12）</w:t>
            </w:r>
          </w:p>
        </w:tc>
      </w:tr>
      <w:tr>
        <w:tblPrEx>
          <w:tblCellMar>
            <w:top w:w="0" w:type="dxa"/>
            <w:left w:w="108" w:type="dxa"/>
            <w:bottom w:w="0" w:type="dxa"/>
            <w:right w:w="108" w:type="dxa"/>
          </w:tblCellMar>
        </w:tblPrEx>
        <w:trPr>
          <w:trHeight w:val="300"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废水 万吨每年</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0.064</w:t>
            </w: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0</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kern w:val="0"/>
                <w:sz w:val="15"/>
                <w:szCs w:val="15"/>
                <w:lang w:val="en-US" w:eastAsia="zh-CN"/>
              </w:rPr>
              <w:t>/</w:t>
            </w:r>
          </w:p>
        </w:tc>
        <w:tc>
          <w:tcPr>
            <w:tcW w:w="1015" w:type="dxa"/>
            <w:tcBorders>
              <w:top w:val="single" w:color="auto" w:sz="4" w:space="0"/>
              <w:bottom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8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97"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ascii="宋体" w:hAnsi="宋体" w:cs="宋体"/>
                <w:b/>
                <w:bCs/>
                <w:kern w:val="0"/>
                <w:sz w:val="15"/>
                <w:szCs w:val="15"/>
              </w:rPr>
              <w:t>COD</w:t>
            </w:r>
            <w:r>
              <w:rPr>
                <w:rFonts w:hint="eastAsia" w:ascii="宋体" w:hAnsi="宋体" w:cs="宋体"/>
                <w:b/>
                <w:bCs/>
                <w:kern w:val="0"/>
                <w:sz w:val="15"/>
                <w:szCs w:val="15"/>
              </w:rPr>
              <w:t xml:space="preserve"> （t/a）</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100</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0.256</w:t>
            </w: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0.192</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kern w:val="0"/>
                <w:sz w:val="15"/>
                <w:szCs w:val="15"/>
                <w:lang w:val="en-US" w:eastAsia="zh-CN"/>
              </w:rPr>
              <w:t>/</w:t>
            </w:r>
          </w:p>
        </w:tc>
        <w:tc>
          <w:tcPr>
            <w:tcW w:w="1015" w:type="dxa"/>
            <w:tcBorders>
              <w:top w:val="single" w:color="auto" w:sz="4" w:space="0"/>
              <w:bottom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8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w:t>
            </w:r>
          </w:p>
        </w:tc>
      </w:tr>
      <w:tr>
        <w:tblPrEx>
          <w:tblCellMar>
            <w:top w:w="0" w:type="dxa"/>
            <w:left w:w="108" w:type="dxa"/>
            <w:bottom w:w="0" w:type="dxa"/>
            <w:right w:w="108" w:type="dxa"/>
          </w:tblCellMar>
        </w:tblPrEx>
        <w:trPr>
          <w:trHeight w:val="317"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氨氮 （t/a）</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15</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0.022</w:t>
            </w: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0.012</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kern w:val="0"/>
                <w:sz w:val="15"/>
                <w:szCs w:val="15"/>
                <w:lang w:val="en-US" w:eastAsia="zh-CN"/>
              </w:rPr>
              <w:t>/</w:t>
            </w:r>
          </w:p>
        </w:tc>
        <w:tc>
          <w:tcPr>
            <w:tcW w:w="1015" w:type="dxa"/>
            <w:tcBorders>
              <w:top w:val="single" w:color="auto" w:sz="4" w:space="0"/>
              <w:bottom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808" w:type="dxa"/>
            <w:gridSpan w:val="2"/>
            <w:tcBorders>
              <w:top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w:t>
            </w:r>
          </w:p>
        </w:tc>
      </w:tr>
      <w:tr>
        <w:tblPrEx>
          <w:tblCellMar>
            <w:top w:w="0" w:type="dxa"/>
            <w:left w:w="108" w:type="dxa"/>
            <w:bottom w:w="0" w:type="dxa"/>
            <w:right w:w="108" w:type="dxa"/>
          </w:tblCellMar>
        </w:tblPrEx>
        <w:trPr>
          <w:trHeight w:val="249"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二氧化硫 （</w:t>
            </w:r>
            <w:r>
              <w:rPr>
                <w:rFonts w:ascii="宋体" w:hAnsi="宋体" w:cs="宋体"/>
                <w:b/>
                <w:bCs/>
                <w:kern w:val="0"/>
                <w:sz w:val="15"/>
                <w:szCs w:val="15"/>
              </w:rPr>
              <w:t>t</w:t>
            </w:r>
            <w:r>
              <w:rPr>
                <w:rFonts w:hint="eastAsia" w:ascii="宋体" w:hAnsi="宋体" w:cs="宋体"/>
                <w:b/>
                <w:bCs/>
                <w:kern w:val="0"/>
                <w:sz w:val="15"/>
                <w:szCs w:val="15"/>
              </w:rPr>
              <w:t>/a）</w:t>
            </w:r>
          </w:p>
        </w:tc>
        <w:tc>
          <w:tcPr>
            <w:tcW w:w="279" w:type="pct"/>
            <w:gridSpan w:val="2"/>
            <w:tcBorders>
              <w:top w:val="nil"/>
              <w:left w:val="nil"/>
              <w:bottom w:val="nil"/>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49"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ascii="宋体" w:hAnsi="宋体" w:cs="宋体"/>
                <w:b/>
                <w:bCs/>
                <w:kern w:val="0"/>
                <w:sz w:val="15"/>
                <w:szCs w:val="15"/>
              </w:rPr>
              <w:t>颗粒物</w:t>
            </w:r>
            <w:r>
              <w:rPr>
                <w:rFonts w:hint="eastAsia" w:ascii="宋体" w:hAnsi="宋体" w:cs="宋体"/>
                <w:b/>
                <w:bCs/>
                <w:kern w:val="0"/>
                <w:sz w:val="15"/>
                <w:szCs w:val="15"/>
              </w:rPr>
              <w:t>（</w:t>
            </w:r>
            <w:r>
              <w:rPr>
                <w:rFonts w:ascii="宋体" w:hAnsi="宋体" w:cs="宋体"/>
                <w:b/>
                <w:bCs/>
                <w:kern w:val="0"/>
                <w:sz w:val="15"/>
                <w:szCs w:val="15"/>
              </w:rPr>
              <w:t>t</w:t>
            </w:r>
            <w:r>
              <w:rPr>
                <w:rFonts w:hint="eastAsia" w:ascii="宋体" w:hAnsi="宋体" w:cs="宋体"/>
                <w:b/>
                <w:bCs/>
                <w:kern w:val="0"/>
                <w:sz w:val="15"/>
                <w:szCs w:val="15"/>
              </w:rPr>
              <w:t>/a）</w:t>
            </w:r>
          </w:p>
        </w:tc>
        <w:tc>
          <w:tcPr>
            <w:tcW w:w="27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95"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氮氧化物 （</w:t>
            </w:r>
            <w:r>
              <w:rPr>
                <w:rFonts w:ascii="宋体" w:hAnsi="宋体" w:cs="宋体"/>
                <w:b/>
                <w:bCs/>
                <w:kern w:val="0"/>
                <w:sz w:val="15"/>
                <w:szCs w:val="15"/>
              </w:rPr>
              <w:t>t</w:t>
            </w:r>
            <w:r>
              <w:rPr>
                <w:rFonts w:hint="eastAsia" w:ascii="宋体" w:hAnsi="宋体" w:cs="宋体"/>
                <w:b/>
                <w:bCs/>
                <w:kern w:val="0"/>
                <w:sz w:val="15"/>
                <w:szCs w:val="15"/>
              </w:rPr>
              <w:t>/a）</w:t>
            </w:r>
          </w:p>
        </w:tc>
        <w:tc>
          <w:tcPr>
            <w:tcW w:w="279" w:type="pct"/>
            <w:gridSpan w:val="2"/>
            <w:tcBorders>
              <w:top w:val="nil"/>
              <w:left w:val="nil"/>
              <w:bottom w:val="nil"/>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49"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 xml:space="preserve">工业固体废物 </w:t>
            </w:r>
          </w:p>
        </w:tc>
        <w:tc>
          <w:tcPr>
            <w:tcW w:w="27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98"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p>
        </w:tc>
        <w:tc>
          <w:tcPr>
            <w:tcW w:w="37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1094"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193" w:type="pct"/>
            <w:tcBorders>
              <w:top w:val="nil"/>
              <w:left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 xml:space="preserve">与项目有关的其他特征污染物 </w:t>
            </w:r>
          </w:p>
        </w:tc>
        <w:tc>
          <w:tcPr>
            <w:tcW w:w="500" w:type="pct"/>
            <w:tcBorders>
              <w:top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VOC</w:t>
            </w:r>
            <w:r>
              <w:rPr>
                <w:rFonts w:ascii="宋体" w:hAnsi="宋体" w:cs="宋体"/>
                <w:b/>
                <w:bCs/>
                <w:kern w:val="0"/>
                <w:sz w:val="15"/>
                <w:szCs w:val="15"/>
              </w:rPr>
              <w:t>（t/a）</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FF0000"/>
                <w:kern w:val="0"/>
                <w:sz w:val="15"/>
                <w:szCs w:val="15"/>
                <w:highlight w:val="yellow"/>
              </w:rPr>
            </w:pPr>
          </w:p>
        </w:tc>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FF0000"/>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49" w:hRule="atLeast"/>
        </w:trPr>
        <w:tc>
          <w:tcPr>
            <w:tcW w:w="5000" w:type="pct"/>
            <w:gridSpan w:val="22"/>
            <w:tcBorders>
              <w:top w:val="single" w:color="auto" w:sz="4" w:space="0"/>
              <w:left w:val="nil"/>
              <w:bottom w:val="nil"/>
              <w:right w:val="nil"/>
            </w:tcBorders>
            <w:shd w:val="clear" w:color="auto" w:fill="auto"/>
            <w:vAlign w:val="center"/>
          </w:tcPr>
          <w:p>
            <w:pPr>
              <w:widowControl/>
              <w:jc w:val="left"/>
              <w:rPr>
                <w:rFonts w:ascii="宋体" w:hAnsi="宋体" w:cs="宋体"/>
                <w:kern w:val="0"/>
                <w:sz w:val="15"/>
                <w:szCs w:val="15"/>
              </w:rPr>
            </w:pPr>
            <w:r>
              <w:rPr>
                <w:rFonts w:hint="eastAsia" w:ascii="宋体" w:hAnsi="宋体" w:cs="宋体"/>
                <w:b/>
                <w:bCs/>
                <w:kern w:val="0"/>
                <w:sz w:val="15"/>
                <w:szCs w:val="15"/>
              </w:rPr>
              <w:t>注：</w:t>
            </w:r>
            <w:r>
              <w:rPr>
                <w:kern w:val="0"/>
                <w:sz w:val="15"/>
                <w:szCs w:val="15"/>
              </w:rPr>
              <w:t>1</w:t>
            </w:r>
            <w:r>
              <w:rPr>
                <w:rFonts w:hint="eastAsia" w:ascii="宋体" w:hAnsi="宋体" w:cs="宋体"/>
                <w:kern w:val="0"/>
                <w:sz w:val="15"/>
                <w:szCs w:val="15"/>
              </w:rPr>
              <w:t>、排放增减量：</w:t>
            </w:r>
            <w:r>
              <w:rPr>
                <w:kern w:val="0"/>
                <w:sz w:val="15"/>
                <w:szCs w:val="15"/>
              </w:rPr>
              <w:t>(+)</w:t>
            </w:r>
            <w:r>
              <w:rPr>
                <w:rFonts w:hint="eastAsia" w:ascii="宋体" w:hAnsi="宋体" w:cs="宋体"/>
                <w:kern w:val="0"/>
                <w:sz w:val="15"/>
                <w:szCs w:val="15"/>
              </w:rPr>
              <w:t>表示增加，（一）表示减少。</w:t>
            </w:r>
            <w:r>
              <w:rPr>
                <w:kern w:val="0"/>
                <w:sz w:val="15"/>
                <w:szCs w:val="15"/>
              </w:rPr>
              <w:t>2</w:t>
            </w:r>
            <w:r>
              <w:rPr>
                <w:rFonts w:hint="eastAsia" w:ascii="宋体" w:hAnsi="宋体" w:cs="宋体"/>
                <w:kern w:val="0"/>
                <w:sz w:val="15"/>
                <w:szCs w:val="15"/>
              </w:rPr>
              <w:t>、</w:t>
            </w:r>
            <w:r>
              <w:rPr>
                <w:kern w:val="0"/>
                <w:sz w:val="15"/>
                <w:szCs w:val="15"/>
              </w:rPr>
              <w:t>(12)=(6)</w:t>
            </w:r>
            <w:r>
              <w:rPr>
                <w:rFonts w:hint="eastAsia" w:ascii="宋体" w:hAnsi="宋体" w:cs="宋体"/>
                <w:kern w:val="0"/>
                <w:sz w:val="15"/>
                <w:szCs w:val="15"/>
              </w:rPr>
              <w:t>一</w:t>
            </w:r>
            <w:r>
              <w:rPr>
                <w:kern w:val="0"/>
                <w:sz w:val="15"/>
                <w:szCs w:val="15"/>
              </w:rPr>
              <w:t>(8)</w:t>
            </w:r>
            <w:r>
              <w:rPr>
                <w:rFonts w:hint="eastAsia" w:ascii="宋体" w:hAnsi="宋体" w:cs="宋体"/>
                <w:kern w:val="0"/>
                <w:sz w:val="15"/>
                <w:szCs w:val="15"/>
              </w:rPr>
              <w:t>一（儿），</w:t>
            </w:r>
            <w:r>
              <w:rPr>
                <w:kern w:val="0"/>
                <w:sz w:val="15"/>
                <w:szCs w:val="15"/>
              </w:rPr>
              <w:t>(9)=(4)</w:t>
            </w:r>
            <w:r>
              <w:rPr>
                <w:rFonts w:hint="eastAsia" w:ascii="宋体" w:hAnsi="宋体" w:cs="宋体"/>
                <w:kern w:val="0"/>
                <w:sz w:val="15"/>
                <w:szCs w:val="15"/>
              </w:rPr>
              <w:t>一</w:t>
            </w:r>
            <w:r>
              <w:rPr>
                <w:kern w:val="0"/>
                <w:sz w:val="15"/>
                <w:szCs w:val="15"/>
              </w:rPr>
              <w:t>(5)</w:t>
            </w:r>
            <w:r>
              <w:rPr>
                <w:rFonts w:hint="eastAsia" w:ascii="宋体" w:hAnsi="宋体" w:cs="宋体"/>
                <w:kern w:val="0"/>
                <w:sz w:val="15"/>
                <w:szCs w:val="15"/>
              </w:rPr>
              <w:t>一</w:t>
            </w:r>
            <w:r>
              <w:rPr>
                <w:kern w:val="0"/>
                <w:sz w:val="15"/>
                <w:szCs w:val="15"/>
              </w:rPr>
              <w:t>(8)-(11)+(1)</w:t>
            </w:r>
            <w:r>
              <w:rPr>
                <w:rFonts w:hint="eastAsia" w:ascii="宋体" w:hAnsi="宋体" w:cs="宋体"/>
                <w:kern w:val="0"/>
                <w:sz w:val="15"/>
                <w:szCs w:val="15"/>
              </w:rPr>
              <w:t>。</w:t>
            </w:r>
            <w:r>
              <w:rPr>
                <w:kern w:val="0"/>
                <w:sz w:val="15"/>
                <w:szCs w:val="15"/>
              </w:rPr>
              <w:t>3</w:t>
            </w:r>
            <w:r>
              <w:rPr>
                <w:rFonts w:hint="eastAsia" w:ascii="宋体" w:hAnsi="宋体" w:cs="宋体"/>
                <w:kern w:val="0"/>
                <w:sz w:val="15"/>
                <w:szCs w:val="15"/>
              </w:rPr>
              <w:t>、计量单位：废水排放量</w:t>
            </w:r>
            <w:r>
              <w:rPr>
                <w:kern w:val="0"/>
                <w:sz w:val="15"/>
                <w:szCs w:val="15"/>
              </w:rPr>
              <w:t>——</w:t>
            </w:r>
            <w:r>
              <w:rPr>
                <w:rFonts w:hint="eastAsia" w:ascii="宋体" w:hAnsi="宋体" w:cs="宋体"/>
                <w:kern w:val="0"/>
                <w:sz w:val="15"/>
                <w:szCs w:val="15"/>
              </w:rPr>
              <w:t>万吨，年：废气排放量</w:t>
            </w:r>
            <w:r>
              <w:rPr>
                <w:kern w:val="0"/>
                <w:sz w:val="15"/>
                <w:szCs w:val="15"/>
              </w:rPr>
              <w:t>——</w:t>
            </w:r>
            <w:r>
              <w:rPr>
                <w:rFonts w:hint="eastAsia" w:ascii="宋体" w:hAnsi="宋体" w:cs="宋体"/>
                <w:kern w:val="0"/>
                <w:sz w:val="15"/>
                <w:szCs w:val="15"/>
              </w:rPr>
              <w:t>万标立方米／年：工业固体废物排放量</w:t>
            </w:r>
            <w:r>
              <w:rPr>
                <w:kern w:val="0"/>
                <w:sz w:val="15"/>
                <w:szCs w:val="15"/>
              </w:rPr>
              <w:t>——</w:t>
            </w:r>
            <w:r>
              <w:rPr>
                <w:rFonts w:hint="eastAsia" w:ascii="宋体" w:hAnsi="宋体" w:cs="宋体"/>
                <w:kern w:val="0"/>
                <w:sz w:val="15"/>
                <w:szCs w:val="15"/>
              </w:rPr>
              <w:t>万吨／年；水污染物排放浓度——毫克／升</w:t>
            </w:r>
          </w:p>
        </w:tc>
      </w:tr>
    </w:tbl>
    <w:p>
      <w:pPr>
        <w:wordWrap w:val="0"/>
        <w:ind w:right="420"/>
        <w:sectPr>
          <w:pgSz w:w="16839" w:h="11907" w:orient="landscape"/>
          <w:pgMar w:top="1417" w:right="1418" w:bottom="1417" w:left="1418" w:header="1134" w:footer="1134" w:gutter="0"/>
          <w:pgBorders>
            <w:top w:val="none" w:sz="0" w:space="0"/>
            <w:left w:val="none" w:sz="0" w:space="0"/>
            <w:bottom w:val="none" w:sz="0" w:space="0"/>
            <w:right w:val="none" w:sz="0" w:space="0"/>
          </w:pgBorders>
          <w:pgNumType w:fmt="numberInDash"/>
          <w:cols w:space="425"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000000"/>
          <w:sz w:val="32"/>
          <w:szCs w:val="32"/>
          <w:lang w:eastAsia="zh-CN"/>
        </w:rPr>
      </w:pPr>
      <w:bookmarkStart w:id="244" w:name="_Toc28053"/>
      <w:bookmarkStart w:id="245" w:name="_Toc26719"/>
      <w:bookmarkStart w:id="246" w:name="_Toc13440"/>
      <w:bookmarkStart w:id="247" w:name="_Toc4390"/>
      <w:r>
        <w:rPr>
          <w:rFonts w:hint="default" w:ascii="Times New Roman" w:hAnsi="Times New Roman" w:eastAsia="宋体" w:cs="Times New Roman"/>
          <w:b/>
          <w:bCs/>
          <w:color w:val="000000"/>
          <w:sz w:val="32"/>
          <w:szCs w:val="32"/>
          <w:lang w:eastAsia="zh-CN"/>
        </w:rPr>
        <w:t>其他事项说明</w:t>
      </w:r>
      <w:bookmarkEnd w:id="244"/>
      <w:bookmarkEnd w:id="245"/>
      <w:bookmarkEnd w:id="246"/>
      <w:bookmarkEnd w:id="247"/>
    </w:p>
    <w:p>
      <w:pPr>
        <w:spacing w:line="360" w:lineRule="auto"/>
        <w:jc w:val="both"/>
        <w:rPr>
          <w:rFonts w:hint="default" w:ascii="Times New Roman" w:hAnsi="Times New Roman" w:eastAsia="宋体" w:cs="Times New Roman"/>
          <w:color w:val="000000"/>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sz w:val="28"/>
          <w:szCs w:val="28"/>
          <w:lang w:val="en-US" w:eastAsia="zh-CN"/>
        </w:rPr>
      </w:pPr>
      <w:bookmarkStart w:id="248" w:name="_Toc4846"/>
      <w:bookmarkStart w:id="249" w:name="_Toc4138"/>
      <w:bookmarkStart w:id="250" w:name="_Toc30175"/>
      <w:bookmarkStart w:id="251" w:name="_Toc5444"/>
      <w:bookmarkStart w:id="252" w:name="_Toc30178"/>
      <w:bookmarkStart w:id="253" w:name="_Toc24919"/>
      <w:bookmarkStart w:id="254" w:name="_Toc25664"/>
      <w:bookmarkStart w:id="255" w:name="_Toc3346"/>
      <w:bookmarkStart w:id="256" w:name="_Toc23287"/>
      <w:bookmarkStart w:id="257" w:name="_Toc14944"/>
      <w:r>
        <w:rPr>
          <w:rFonts w:hint="default" w:ascii="Times New Roman" w:hAnsi="Times New Roman" w:eastAsia="宋体" w:cs="Times New Roman"/>
          <w:b/>
          <w:bCs/>
          <w:color w:val="000000"/>
          <w:sz w:val="28"/>
          <w:szCs w:val="28"/>
          <w:lang w:val="en-US" w:eastAsia="zh-CN"/>
        </w:rPr>
        <w:t>1、环境保护设施设计、施工和验收过程</w:t>
      </w:r>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58" w:name="_Toc25507"/>
      <w:bookmarkStart w:id="259" w:name="_Toc26174"/>
      <w:bookmarkStart w:id="260" w:name="_Toc8299"/>
      <w:bookmarkStart w:id="261" w:name="_Toc15978"/>
      <w:bookmarkStart w:id="262" w:name="_Toc4086"/>
      <w:bookmarkStart w:id="263" w:name="_Toc18563"/>
      <w:bookmarkStart w:id="264" w:name="_Toc9361"/>
      <w:bookmarkStart w:id="265" w:name="_Toc6893"/>
      <w:bookmarkStart w:id="266" w:name="_Toc25701"/>
      <w:bookmarkStart w:id="267" w:name="_Toc8758"/>
      <w:r>
        <w:rPr>
          <w:rFonts w:hint="default" w:ascii="Times New Roman" w:hAnsi="Times New Roman" w:eastAsia="宋体" w:cs="Times New Roman"/>
          <w:b/>
          <w:bCs/>
          <w:color w:val="000000"/>
          <w:sz w:val="24"/>
          <w:szCs w:val="24"/>
          <w:lang w:val="en-US" w:eastAsia="zh-CN"/>
        </w:rPr>
        <w:t>1.1设计简况</w:t>
      </w:r>
      <w:bookmarkEnd w:id="258"/>
      <w:bookmarkEnd w:id="259"/>
      <w:bookmarkEnd w:id="260"/>
      <w:bookmarkEnd w:id="261"/>
      <w:bookmarkEnd w:id="262"/>
      <w:bookmarkEnd w:id="263"/>
      <w:bookmarkEnd w:id="264"/>
      <w:bookmarkEnd w:id="265"/>
      <w:bookmarkEnd w:id="266"/>
      <w:bookmarkEnd w:id="26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eastAsia="zh-CN"/>
        </w:rPr>
      </w:pPr>
      <w:r>
        <w:rPr>
          <w:rFonts w:hint="eastAsia" w:cs="Times New Roman"/>
          <w:color w:val="000000"/>
          <w:sz w:val="24"/>
          <w:szCs w:val="24"/>
          <w:lang w:eastAsia="zh-CN"/>
        </w:rPr>
        <w:t>宁波市海曙古林宏通印花厂（普通合伙）“</w:t>
      </w:r>
      <w:r>
        <w:rPr>
          <w:rFonts w:hint="eastAsia" w:cs="Times New Roman"/>
          <w:color w:val="000000"/>
          <w:sz w:val="24"/>
          <w:szCs w:val="24"/>
          <w:lang w:val="en-US" w:eastAsia="zh-CN"/>
        </w:rPr>
        <w:t>年印50万衣片印花（水性及油性）项目</w:t>
      </w:r>
      <w:r>
        <w:rPr>
          <w:rFonts w:hint="eastAsia" w:cs="Times New Roman"/>
          <w:color w:val="000000"/>
          <w:sz w:val="24"/>
          <w:szCs w:val="24"/>
          <w:lang w:eastAsia="zh-CN"/>
        </w:rPr>
        <w:t>”为新建项目，经营场所向</w:t>
      </w:r>
      <w:r>
        <w:rPr>
          <w:rFonts w:hint="eastAsia" w:eastAsiaTheme="majorEastAsia"/>
          <w:sz w:val="24"/>
          <w:lang w:eastAsia="zh-CN"/>
        </w:rPr>
        <w:t>宁波市鄞州明升工艺品厂</w:t>
      </w:r>
      <w:r>
        <w:rPr>
          <w:rFonts w:hint="eastAsia" w:cs="Times New Roman"/>
          <w:color w:val="000000"/>
          <w:sz w:val="24"/>
          <w:szCs w:val="24"/>
          <w:lang w:eastAsia="zh-CN"/>
        </w:rPr>
        <w:t>租赁，总投资</w:t>
      </w:r>
      <w:r>
        <w:rPr>
          <w:rFonts w:hint="eastAsia" w:cs="Times New Roman"/>
          <w:color w:val="000000"/>
          <w:sz w:val="24"/>
          <w:szCs w:val="24"/>
          <w:lang w:val="en-US" w:eastAsia="zh-CN"/>
        </w:rPr>
        <w:t>15万元，总占地面积600平方米，建筑面积600平方米，主要从事衣片印花生产项目，预计年加工量50万片，年产值可达100万元。</w:t>
      </w:r>
      <w:r>
        <w:rPr>
          <w:rFonts w:hint="default" w:ascii="Times New Roman" w:hAnsi="Times New Roman" w:eastAsia="宋体" w:cs="Times New Roman"/>
          <w:color w:val="000000"/>
          <w:sz w:val="24"/>
          <w:szCs w:val="24"/>
          <w:lang w:eastAsia="zh-CN"/>
        </w:rPr>
        <w:t>所涉及的环保设施</w:t>
      </w:r>
      <w:r>
        <w:rPr>
          <w:rFonts w:hint="default" w:ascii="Times New Roman" w:hAnsi="Times New Roman" w:eastAsia="宋体" w:cs="Times New Roman"/>
          <w:color w:val="000000"/>
          <w:sz w:val="24"/>
          <w:szCs w:val="24"/>
          <w:lang w:val="en-US" w:eastAsia="zh-CN"/>
        </w:rPr>
        <w:t>均</w:t>
      </w:r>
      <w:r>
        <w:rPr>
          <w:rFonts w:hint="eastAsia" w:cs="Times New Roman"/>
          <w:color w:val="000000"/>
          <w:sz w:val="24"/>
          <w:szCs w:val="24"/>
          <w:lang w:val="en-US" w:eastAsia="zh-CN"/>
        </w:rPr>
        <w:t>已实施</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eastAsia="zh-CN"/>
        </w:rPr>
        <w:t>且运行状况良好，企业各环保设施均严格按照国家相关的环境保护设计规范的要求进行设计，工程实际建设过程中落实了相关防止污染和生态破坏的措施以及工程环境保护措施投资概算。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68" w:name="_Toc4317"/>
      <w:bookmarkStart w:id="269" w:name="_Toc7828"/>
      <w:bookmarkStart w:id="270" w:name="_Toc28772"/>
      <w:bookmarkStart w:id="271" w:name="_Toc18641"/>
      <w:bookmarkStart w:id="272" w:name="_Toc24410"/>
      <w:bookmarkStart w:id="273" w:name="_Toc1268"/>
      <w:bookmarkStart w:id="274" w:name="_Toc10486"/>
      <w:bookmarkStart w:id="275" w:name="_Toc27385"/>
      <w:bookmarkStart w:id="276" w:name="_Toc16062"/>
      <w:bookmarkStart w:id="277" w:name="_Toc15187"/>
      <w:r>
        <w:rPr>
          <w:rFonts w:hint="default" w:ascii="Times New Roman" w:hAnsi="Times New Roman" w:eastAsia="宋体" w:cs="Times New Roman"/>
          <w:b/>
          <w:bCs/>
          <w:color w:val="000000"/>
          <w:sz w:val="24"/>
          <w:szCs w:val="24"/>
          <w:lang w:val="en-US" w:eastAsia="zh-CN"/>
        </w:rPr>
        <w:t>1.2施工简况</w:t>
      </w:r>
      <w:bookmarkEnd w:id="268"/>
      <w:bookmarkEnd w:id="269"/>
      <w:bookmarkEnd w:id="270"/>
      <w:bookmarkEnd w:id="271"/>
      <w:bookmarkEnd w:id="272"/>
      <w:bookmarkEnd w:id="273"/>
      <w:bookmarkEnd w:id="274"/>
      <w:bookmarkEnd w:id="275"/>
      <w:bookmarkEnd w:id="276"/>
      <w:bookmarkEnd w:id="27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工程建设过程中，将环境保护措施纳入了施工合同，与工程有关的环境保护措施建设资金投入到位，并与主体工程做到了同时设计、同时施工、同时投产使用。该工程建设过程中，组织实施了项目环境影响报告表及备案文件中提出的环境保护对策措施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78" w:name="_Toc27055"/>
      <w:bookmarkStart w:id="279" w:name="_Toc26837"/>
      <w:bookmarkStart w:id="280" w:name="_Toc16001"/>
      <w:bookmarkStart w:id="281" w:name="_Toc456"/>
      <w:bookmarkStart w:id="282" w:name="_Toc29994"/>
      <w:bookmarkStart w:id="283" w:name="_Toc15476"/>
      <w:bookmarkStart w:id="284" w:name="_Toc294"/>
      <w:bookmarkStart w:id="285" w:name="_Toc27569"/>
      <w:bookmarkStart w:id="286" w:name="_Toc759"/>
      <w:bookmarkStart w:id="287" w:name="_Toc19594"/>
      <w:r>
        <w:rPr>
          <w:rFonts w:hint="default" w:ascii="Times New Roman" w:hAnsi="Times New Roman" w:eastAsia="宋体" w:cs="Times New Roman"/>
          <w:b/>
          <w:bCs/>
          <w:color w:val="000000"/>
          <w:sz w:val="24"/>
          <w:szCs w:val="24"/>
          <w:lang w:val="en-US" w:eastAsia="zh-CN"/>
        </w:rPr>
        <w:t>1.3验收过程简况</w:t>
      </w:r>
      <w:bookmarkEnd w:id="278"/>
      <w:bookmarkEnd w:id="279"/>
      <w:bookmarkEnd w:id="280"/>
      <w:bookmarkEnd w:id="281"/>
      <w:bookmarkEnd w:id="282"/>
      <w:bookmarkEnd w:id="283"/>
      <w:bookmarkEnd w:id="284"/>
      <w:bookmarkEnd w:id="285"/>
      <w:bookmarkEnd w:id="286"/>
      <w:bookmarkEnd w:id="28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项目</w:t>
      </w:r>
      <w:r>
        <w:rPr>
          <w:rFonts w:hint="default" w:ascii="Times New Roman" w:hAnsi="Times New Roman" w:cs="Times New Roman"/>
          <w:color w:val="000000"/>
          <w:sz w:val="24"/>
          <w:szCs w:val="24"/>
          <w:lang w:val="en-US" w:eastAsia="zh-CN"/>
        </w:rPr>
        <w:t>位于</w:t>
      </w:r>
      <w:r>
        <w:rPr>
          <w:rFonts w:hint="eastAsia" w:cs="Times New Roman"/>
          <w:color w:val="000000"/>
          <w:sz w:val="24"/>
          <w:szCs w:val="24"/>
          <w:lang w:val="en-US" w:eastAsia="zh-CN"/>
        </w:rPr>
        <w:t>宁波市海曙区古林镇蜃蛟村</w:t>
      </w:r>
      <w:r>
        <w:rPr>
          <w:rFonts w:hint="default" w:ascii="Times New Roman" w:hAnsi="Times New Roman" w:eastAsia="宋体" w:cs="Times New Roman"/>
          <w:color w:val="000000"/>
          <w:sz w:val="24"/>
          <w:lang w:val="en-US" w:eastAsia="zh-CN"/>
        </w:rPr>
        <w:t>，</w:t>
      </w:r>
      <w:r>
        <w:rPr>
          <w:rFonts w:hint="eastAsia" w:cs="Times New Roman"/>
          <w:color w:val="000000"/>
          <w:sz w:val="24"/>
          <w:szCs w:val="24"/>
          <w:lang w:eastAsia="zh-CN"/>
        </w:rPr>
        <w:t>宁波市海曙古林宏通印花厂（普通合伙）</w:t>
      </w:r>
      <w:r>
        <w:rPr>
          <w:rFonts w:hint="default" w:ascii="Times New Roman" w:hAnsi="Times New Roman" w:eastAsia="宋体" w:cs="Times New Roman"/>
          <w:color w:val="000000"/>
          <w:sz w:val="24"/>
          <w:lang w:val="en-US" w:eastAsia="zh-CN"/>
        </w:rPr>
        <w:t>于</w:t>
      </w:r>
      <w:r>
        <w:rPr>
          <w:rFonts w:hint="eastAsia" w:cs="Times New Roman"/>
          <w:color w:val="000000"/>
          <w:sz w:val="24"/>
          <w:lang w:val="en-US" w:eastAsia="zh-CN"/>
        </w:rPr>
        <w:t>2006</w:t>
      </w:r>
      <w:r>
        <w:rPr>
          <w:rFonts w:hint="default" w:ascii="Times New Roman" w:hAnsi="Times New Roman" w:eastAsia="宋体" w:cs="Times New Roman"/>
          <w:color w:val="000000"/>
          <w:sz w:val="24"/>
          <w:lang w:val="en-US" w:eastAsia="zh-CN"/>
        </w:rPr>
        <w:t>年</w:t>
      </w:r>
      <w:r>
        <w:rPr>
          <w:rFonts w:hint="eastAsia" w:cs="Times New Roman"/>
          <w:color w:val="000000"/>
          <w:sz w:val="24"/>
          <w:lang w:val="en-US" w:eastAsia="zh-CN"/>
        </w:rPr>
        <w:t>4</w:t>
      </w:r>
      <w:r>
        <w:rPr>
          <w:rFonts w:hint="default" w:ascii="Times New Roman" w:hAnsi="Times New Roman" w:eastAsia="宋体" w:cs="Times New Roman"/>
          <w:color w:val="000000"/>
          <w:sz w:val="24"/>
          <w:lang w:val="en-US" w:eastAsia="zh-CN"/>
        </w:rPr>
        <w:t>月委托</w:t>
      </w:r>
      <w:r>
        <w:rPr>
          <w:rFonts w:hint="eastAsia" w:cs="Times New Roman"/>
          <w:color w:val="000000"/>
          <w:sz w:val="24"/>
          <w:lang w:val="en-US" w:eastAsia="zh-CN"/>
        </w:rPr>
        <w:t>宁波市鄞州兴达环保工程有限公司</w:t>
      </w:r>
      <w:r>
        <w:rPr>
          <w:rFonts w:hint="default" w:ascii="Times New Roman" w:hAnsi="Times New Roman" w:eastAsia="宋体" w:cs="Times New Roman"/>
          <w:color w:val="000000"/>
          <w:sz w:val="24"/>
          <w:lang w:val="en-US" w:eastAsia="zh-CN"/>
        </w:rPr>
        <w:t>编制了《</w:t>
      </w:r>
      <w:r>
        <w:rPr>
          <w:rFonts w:hint="eastAsia" w:cs="Times New Roman"/>
          <w:color w:val="000000"/>
          <w:sz w:val="24"/>
          <w:lang w:val="en-US" w:eastAsia="zh-CN"/>
        </w:rPr>
        <w:t>宁波市海曙古林宏通印花厂（普通合伙）</w:t>
      </w:r>
      <w:r>
        <w:rPr>
          <w:rFonts w:hint="eastAsia" w:cs="Times New Roman"/>
          <w:color w:val="000000"/>
          <w:sz w:val="24"/>
          <w:szCs w:val="24"/>
          <w:lang w:val="en-US" w:eastAsia="zh-CN"/>
        </w:rPr>
        <w:t>年印50万衣片印花（水性及油性）项目</w:t>
      </w:r>
      <w:r>
        <w:rPr>
          <w:rFonts w:hint="default" w:ascii="Times New Roman" w:hAnsi="Times New Roman" w:eastAsia="宋体" w:cs="Times New Roman"/>
          <w:color w:val="000000"/>
          <w:sz w:val="24"/>
          <w:lang w:val="en-US" w:eastAsia="zh-CN"/>
        </w:rPr>
        <w:t>环境影响报告表》，</w:t>
      </w:r>
      <w:r>
        <w:rPr>
          <w:rFonts w:hint="eastAsia" w:cs="Times New Roman"/>
          <w:color w:val="000000"/>
          <w:sz w:val="24"/>
          <w:lang w:val="en-US" w:eastAsia="zh-CN"/>
        </w:rPr>
        <w:t>并取得批复</w:t>
      </w:r>
      <w:r>
        <w:rPr>
          <w:rFonts w:hint="default" w:ascii="Times New Roman" w:hAnsi="Times New Roman" w:eastAsia="宋体" w:cs="Times New Roman"/>
          <w:color w:val="000000"/>
          <w:sz w:val="24"/>
          <w:lang w:val="en-US" w:eastAsia="zh-CN"/>
        </w:rPr>
        <w:t>。目前企业各设备运行状况良好，已具备验收条件。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竣工验收工作于20</w:t>
      </w:r>
      <w:r>
        <w:rPr>
          <w:rFonts w:hint="eastAsia" w:ascii="Times New Roman" w:hAnsi="Times New Roman" w:eastAsia="宋体" w:cs="Times New Roman"/>
          <w:color w:val="000000"/>
          <w:sz w:val="24"/>
          <w:lang w:val="en-US" w:eastAsia="zh-CN"/>
        </w:rPr>
        <w:t>2</w:t>
      </w:r>
      <w:r>
        <w:rPr>
          <w:rFonts w:hint="eastAsia" w:cs="Times New Roman"/>
          <w:color w:val="000000"/>
          <w:sz w:val="24"/>
          <w:lang w:val="en-US" w:eastAsia="zh-CN"/>
        </w:rPr>
        <w:t>2</w:t>
      </w:r>
      <w:r>
        <w:rPr>
          <w:rFonts w:hint="default" w:ascii="Times New Roman" w:hAnsi="Times New Roman" w:eastAsia="宋体" w:cs="Times New Roman"/>
          <w:color w:val="000000"/>
          <w:sz w:val="24"/>
          <w:lang w:val="en-US" w:eastAsia="zh-CN"/>
        </w:rPr>
        <w:t>年</w:t>
      </w:r>
      <w:r>
        <w:rPr>
          <w:rFonts w:hint="eastAsia" w:cs="Times New Roman"/>
          <w:color w:val="000000"/>
          <w:sz w:val="24"/>
          <w:lang w:val="en-US" w:eastAsia="zh-CN"/>
        </w:rPr>
        <w:t>1</w:t>
      </w:r>
      <w:r>
        <w:rPr>
          <w:rFonts w:hint="default" w:ascii="Times New Roman" w:hAnsi="Times New Roman" w:eastAsia="宋体" w:cs="Times New Roman"/>
          <w:color w:val="000000"/>
          <w:sz w:val="24"/>
          <w:lang w:val="en-US" w:eastAsia="zh-CN"/>
        </w:rPr>
        <w:t>月启动，企业对本项目进行了环境保护设施调查，并委托</w:t>
      </w:r>
      <w:r>
        <w:rPr>
          <w:rFonts w:hint="default" w:ascii="Times New Roman" w:hAnsi="Times New Roman" w:eastAsia="宋体" w:cs="Times New Roman"/>
          <w:color w:val="000000" w:themeColor="text1"/>
          <w:sz w:val="24"/>
          <w:lang w:val="en-US" w:eastAsia="zh-CN"/>
          <w14:textFill>
            <w14:solidFill>
              <w14:schemeClr w14:val="tx1"/>
            </w14:solidFill>
          </w14:textFill>
        </w:rPr>
        <w:t>浙江</w:t>
      </w:r>
      <w:r>
        <w:rPr>
          <w:rFonts w:hint="eastAsia" w:cs="Times New Roman"/>
          <w:color w:val="000000" w:themeColor="text1"/>
          <w:sz w:val="24"/>
          <w:lang w:val="en-US" w:eastAsia="zh-CN"/>
          <w14:textFill>
            <w14:solidFill>
              <w14:schemeClr w14:val="tx1"/>
            </w14:solidFill>
          </w14:textFill>
        </w:rPr>
        <w:t>诚德检测研究</w:t>
      </w:r>
      <w:r>
        <w:rPr>
          <w:rFonts w:hint="default" w:ascii="Times New Roman" w:hAnsi="Times New Roman" w:eastAsia="宋体" w:cs="Times New Roman"/>
          <w:color w:val="000000" w:themeColor="text1"/>
          <w:sz w:val="24"/>
          <w:lang w:val="en-US" w:eastAsia="zh-CN"/>
          <w14:textFill>
            <w14:solidFill>
              <w14:schemeClr w14:val="tx1"/>
            </w14:solidFill>
          </w14:textFill>
        </w:rPr>
        <w:t>有限公司</w:t>
      </w:r>
      <w:r>
        <w:rPr>
          <w:rFonts w:hint="default" w:ascii="Times New Roman" w:hAnsi="Times New Roman" w:eastAsia="宋体" w:cs="Times New Roman"/>
          <w:color w:val="000000"/>
          <w:sz w:val="24"/>
          <w:lang w:val="en-US" w:eastAsia="zh-CN"/>
        </w:rPr>
        <w:t>进行了验收监测。监测委托合同中约定</w:t>
      </w:r>
      <w:r>
        <w:rPr>
          <w:rFonts w:hint="default" w:ascii="Times New Roman" w:hAnsi="Times New Roman" w:eastAsia="宋体" w:cs="Times New Roman"/>
          <w:color w:val="000000" w:themeColor="text1"/>
          <w:sz w:val="24"/>
          <w:lang w:val="en-US" w:eastAsia="zh-CN"/>
          <w14:textFill>
            <w14:solidFill>
              <w14:schemeClr w14:val="tx1"/>
            </w14:solidFill>
          </w14:textFill>
        </w:rPr>
        <w:t>浙江</w:t>
      </w:r>
      <w:r>
        <w:rPr>
          <w:rFonts w:hint="eastAsia" w:cs="Times New Roman"/>
          <w:color w:val="000000" w:themeColor="text1"/>
          <w:sz w:val="24"/>
          <w:lang w:val="en-US" w:eastAsia="zh-CN"/>
          <w14:textFill>
            <w14:solidFill>
              <w14:schemeClr w14:val="tx1"/>
            </w14:solidFill>
          </w14:textFill>
        </w:rPr>
        <w:t>诚德检测研究</w:t>
      </w:r>
      <w:r>
        <w:rPr>
          <w:rFonts w:hint="default" w:ascii="Times New Roman" w:hAnsi="Times New Roman" w:eastAsia="宋体" w:cs="Times New Roman"/>
          <w:color w:val="000000" w:themeColor="text1"/>
          <w:sz w:val="24"/>
          <w:lang w:val="en-US" w:eastAsia="zh-CN"/>
          <w14:textFill>
            <w14:solidFill>
              <w14:schemeClr w14:val="tx1"/>
            </w14:solidFill>
          </w14:textFill>
        </w:rPr>
        <w:t>有限公司</w:t>
      </w:r>
      <w:r>
        <w:rPr>
          <w:rFonts w:hint="default" w:ascii="Times New Roman" w:hAnsi="Times New Roman" w:eastAsia="宋体" w:cs="Times New Roman"/>
          <w:color w:val="000000"/>
          <w:sz w:val="24"/>
          <w:lang w:val="en-US" w:eastAsia="zh-CN"/>
        </w:rPr>
        <w:t>提供废气</w:t>
      </w:r>
      <w:r>
        <w:rPr>
          <w:rFonts w:hint="eastAsia" w:eastAsia="宋体" w:cs="Times New Roman"/>
          <w:color w:val="000000"/>
          <w:sz w:val="24"/>
          <w:lang w:val="en-US" w:eastAsia="zh-CN"/>
        </w:rPr>
        <w:t>与</w:t>
      </w:r>
      <w:r>
        <w:rPr>
          <w:rFonts w:hint="default" w:ascii="Times New Roman" w:hAnsi="Times New Roman" w:eastAsia="宋体" w:cs="Times New Roman"/>
          <w:color w:val="000000"/>
          <w:sz w:val="24"/>
          <w:lang w:val="en-US" w:eastAsia="zh-CN"/>
        </w:rPr>
        <w:t>噪声等项目的监测服务，并出具真实有效的监测数据和监测报告。该验收监测报告于</w:t>
      </w:r>
      <w:r>
        <w:rPr>
          <w:rFonts w:hint="default" w:ascii="Times New Roman" w:hAnsi="Times New Roman" w:eastAsia="宋体" w:cs="Times New Roman"/>
          <w:color w:val="auto"/>
          <w:sz w:val="24"/>
          <w:lang w:val="en-US" w:eastAsia="zh-CN"/>
        </w:rPr>
        <w:t>20</w:t>
      </w:r>
      <w:r>
        <w:rPr>
          <w:rFonts w:hint="eastAsia" w:cs="Times New Roman"/>
          <w:color w:val="auto"/>
          <w:sz w:val="24"/>
          <w:lang w:val="en-US" w:eastAsia="zh-CN"/>
        </w:rPr>
        <w:t>22</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月</w:t>
      </w:r>
      <w:r>
        <w:rPr>
          <w:rFonts w:hint="eastAsia" w:cs="Times New Roman"/>
          <w:color w:val="auto"/>
          <w:sz w:val="24"/>
          <w:lang w:val="en-US" w:eastAsia="zh-CN"/>
        </w:rPr>
        <w:t>22</w:t>
      </w:r>
      <w:r>
        <w:rPr>
          <w:rFonts w:hint="eastAsia"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lang w:val="en-US" w:eastAsia="zh-CN"/>
        </w:rPr>
        <w:t>完成，</w:t>
      </w:r>
      <w:r>
        <w:rPr>
          <w:rFonts w:hint="eastAsia" w:ascii="Times New Roman" w:hAnsi="Times New Roman" w:eastAsia="宋体" w:cs="Times New Roman"/>
          <w:color w:val="auto"/>
          <w:sz w:val="24"/>
          <w:lang w:val="en-US" w:eastAsia="zh-CN"/>
        </w:rPr>
        <w:t>202</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月</w:t>
      </w:r>
      <w:r>
        <w:rPr>
          <w:rFonts w:hint="eastAsia" w:cs="Times New Roman"/>
          <w:color w:val="auto"/>
          <w:sz w:val="24"/>
          <w:lang w:val="en-US" w:eastAsia="zh-CN"/>
        </w:rPr>
        <w:t>28</w:t>
      </w:r>
      <w:r>
        <w:rPr>
          <w:rFonts w:hint="default" w:ascii="Times New Roman" w:hAnsi="Times New Roman" w:eastAsia="宋体" w:cs="Times New Roman"/>
          <w:color w:val="auto"/>
          <w:sz w:val="24"/>
          <w:lang w:val="en-US" w:eastAsia="zh-CN"/>
        </w:rPr>
        <w:t>日由</w:t>
      </w:r>
      <w:r>
        <w:rPr>
          <w:rFonts w:hint="eastAsia" w:cs="Times New Roman"/>
          <w:color w:val="000000"/>
          <w:sz w:val="24"/>
          <w:szCs w:val="24"/>
          <w:lang w:eastAsia="zh-CN"/>
        </w:rPr>
        <w:t>宁波市海曙古林宏通印花厂（普通合伙）</w:t>
      </w:r>
      <w:r>
        <w:rPr>
          <w:rFonts w:hint="default" w:ascii="Times New Roman" w:hAnsi="Times New Roman" w:eastAsia="宋体" w:cs="Times New Roman"/>
          <w:color w:val="000000"/>
          <w:sz w:val="24"/>
          <w:lang w:val="en-US" w:eastAsia="zh-CN"/>
        </w:rPr>
        <w:t>组织成立了验收工作组，对项目现场进行了验收，验收工作组经认真讨论，形成了验收意见结论如下：</w:t>
      </w:r>
      <w:r>
        <w:rPr>
          <w:rFonts w:hint="eastAsia" w:cs="Times New Roman"/>
          <w:color w:val="000000"/>
          <w:sz w:val="24"/>
          <w:lang w:val="en-US" w:eastAsia="zh-CN"/>
        </w:rPr>
        <w:t>“</w:t>
      </w:r>
      <w:r>
        <w:rPr>
          <w:rFonts w:hint="default" w:ascii="Times New Roman" w:hAnsi="Times New Roman" w:eastAsia="宋体" w:cs="Times New Roman"/>
          <w:color w:val="000000"/>
          <w:sz w:val="24"/>
          <w:lang w:val="en-US" w:eastAsia="zh-CN"/>
        </w:rPr>
        <w:t>经现场查验，</w:t>
      </w:r>
      <w:r>
        <w:rPr>
          <w:rFonts w:hint="eastAsia" w:cs="Times New Roman"/>
          <w:color w:val="000000"/>
          <w:sz w:val="24"/>
          <w:lang w:val="en-US" w:eastAsia="zh-CN"/>
        </w:rPr>
        <w:t>宁波市海曙古林宏通印花厂（普通合伙）</w:t>
      </w:r>
      <w:r>
        <w:rPr>
          <w:rFonts w:hint="eastAsia" w:cs="Times New Roman"/>
          <w:color w:val="000000"/>
          <w:sz w:val="24"/>
          <w:szCs w:val="24"/>
          <w:lang w:val="en-US" w:eastAsia="zh-CN"/>
        </w:rPr>
        <w:t>年印50万衣片印花（水性及油性）项目</w:t>
      </w:r>
      <w:r>
        <w:rPr>
          <w:rFonts w:hint="default" w:ascii="Times New Roman" w:hAnsi="Times New Roman" w:eastAsia="宋体" w:cs="Times New Roman"/>
          <w:color w:val="000000"/>
          <w:sz w:val="24"/>
          <w:lang w:val="en-US" w:eastAsia="zh-CN"/>
        </w:rPr>
        <w:t>环评手续齐备，主体工程和配套环保工程建设基本完备，项目建设内容与环境影响报告表及</w:t>
      </w:r>
      <w:r>
        <w:rPr>
          <w:rFonts w:hint="eastAsia" w:cs="Times New Roman"/>
          <w:color w:val="000000"/>
          <w:sz w:val="24"/>
          <w:lang w:val="en-US" w:eastAsia="zh-CN"/>
        </w:rPr>
        <w:t>备</w:t>
      </w:r>
      <w:r>
        <w:rPr>
          <w:rFonts w:hint="eastAsia" w:cs="Times New Roman"/>
          <w:color w:val="000000"/>
          <w:sz w:val="24"/>
          <w:lang w:eastAsia="zh-CN"/>
        </w:rPr>
        <w:t>案文件</w:t>
      </w:r>
      <w:r>
        <w:rPr>
          <w:rFonts w:hint="default" w:ascii="Times New Roman" w:hAnsi="Times New Roman" w:eastAsia="宋体" w:cs="Times New Roman"/>
          <w:color w:val="000000"/>
          <w:sz w:val="24"/>
          <w:lang w:val="en-US" w:eastAsia="zh-CN"/>
        </w:rPr>
        <w:t>内容基本一致，已基本落实了环保</w:t>
      </w:r>
      <w:r>
        <w:rPr>
          <w:rFonts w:hint="eastAsia" w:cs="Times New Roman"/>
          <w:color w:val="000000"/>
          <w:sz w:val="24"/>
          <w:lang w:val="en-US" w:eastAsia="zh-CN"/>
        </w:rPr>
        <w:t>“</w:t>
      </w:r>
      <w:r>
        <w:rPr>
          <w:rFonts w:hint="default" w:ascii="Times New Roman" w:hAnsi="Times New Roman" w:eastAsia="宋体" w:cs="Times New Roman"/>
          <w:color w:val="000000"/>
          <w:sz w:val="24"/>
          <w:lang w:val="en-US" w:eastAsia="zh-CN"/>
        </w:rPr>
        <w:t>三同时</w:t>
      </w:r>
      <w:r>
        <w:rPr>
          <w:rFonts w:hint="eastAsia" w:cs="Times New Roman"/>
          <w:color w:val="000000"/>
          <w:sz w:val="24"/>
          <w:lang w:val="en-US" w:eastAsia="zh-CN"/>
        </w:rPr>
        <w:t>”</w:t>
      </w:r>
      <w:r>
        <w:rPr>
          <w:rFonts w:hint="default" w:ascii="Times New Roman" w:hAnsi="Times New Roman" w:eastAsia="宋体" w:cs="Times New Roman"/>
          <w:color w:val="000000"/>
          <w:sz w:val="24"/>
          <w:lang w:val="en-US" w:eastAsia="zh-CN"/>
        </w:rPr>
        <w:t>和环评报告表中各项环保要求，污染物达标排放，竣工环保验收条件具备，验收工作组同意该项目通过竣工环境保护验收。</w:t>
      </w:r>
      <w:r>
        <w:rPr>
          <w:rFonts w:hint="eastAsia" w:cs="Times New Roman"/>
          <w:color w:val="000000"/>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sz w:val="28"/>
          <w:szCs w:val="28"/>
          <w:lang w:val="en-US" w:eastAsia="zh-CN"/>
        </w:rPr>
      </w:pPr>
      <w:bookmarkStart w:id="288" w:name="_Toc22973"/>
      <w:bookmarkStart w:id="289" w:name="_Toc2639"/>
      <w:bookmarkStart w:id="290" w:name="_Toc23672"/>
      <w:bookmarkStart w:id="291" w:name="_Toc22840"/>
      <w:bookmarkStart w:id="292" w:name="_Toc11078"/>
      <w:bookmarkStart w:id="293" w:name="_Toc14741"/>
      <w:bookmarkStart w:id="294" w:name="_Toc28789"/>
      <w:bookmarkStart w:id="295" w:name="_Toc15841"/>
      <w:bookmarkStart w:id="296" w:name="_Toc22256"/>
      <w:bookmarkStart w:id="297" w:name="_Toc22511"/>
      <w:r>
        <w:rPr>
          <w:rFonts w:hint="default" w:ascii="Times New Roman" w:hAnsi="Times New Roman" w:eastAsia="宋体" w:cs="Times New Roman"/>
          <w:b/>
          <w:bCs/>
          <w:color w:val="000000"/>
          <w:sz w:val="28"/>
          <w:szCs w:val="28"/>
          <w:lang w:val="en-US" w:eastAsia="zh-CN"/>
        </w:rPr>
        <w:t>2、其他环境保护措施的实施情况</w:t>
      </w:r>
      <w:bookmarkEnd w:id="288"/>
      <w:bookmarkEnd w:id="289"/>
      <w:bookmarkEnd w:id="290"/>
      <w:bookmarkEnd w:id="291"/>
      <w:bookmarkEnd w:id="292"/>
      <w:bookmarkEnd w:id="293"/>
      <w:bookmarkEnd w:id="294"/>
      <w:bookmarkEnd w:id="295"/>
      <w:bookmarkEnd w:id="296"/>
      <w:bookmarkEnd w:id="29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98" w:name="_Toc30561"/>
      <w:bookmarkStart w:id="299" w:name="_Toc21877"/>
      <w:bookmarkStart w:id="300" w:name="_Toc15899"/>
      <w:bookmarkStart w:id="301" w:name="_Toc27274"/>
      <w:bookmarkStart w:id="302" w:name="_Toc22968"/>
      <w:bookmarkStart w:id="303" w:name="_Toc16926"/>
      <w:bookmarkStart w:id="304" w:name="_Toc19844"/>
      <w:bookmarkStart w:id="305" w:name="_Toc5494"/>
      <w:bookmarkStart w:id="306" w:name="_Toc27080"/>
      <w:bookmarkStart w:id="307" w:name="_Toc15001"/>
      <w:r>
        <w:rPr>
          <w:rFonts w:hint="default" w:ascii="Times New Roman" w:hAnsi="Times New Roman" w:eastAsia="宋体" w:cs="Times New Roman"/>
          <w:b/>
          <w:bCs/>
          <w:color w:val="000000"/>
          <w:sz w:val="24"/>
          <w:szCs w:val="24"/>
          <w:lang w:val="en-US" w:eastAsia="zh-CN"/>
        </w:rPr>
        <w:t>2.1制度措施落实情况</w:t>
      </w:r>
      <w:bookmarkEnd w:id="298"/>
      <w:bookmarkEnd w:id="299"/>
      <w:bookmarkEnd w:id="300"/>
      <w:bookmarkEnd w:id="301"/>
      <w:bookmarkEnd w:id="302"/>
      <w:bookmarkEnd w:id="303"/>
      <w:bookmarkEnd w:id="304"/>
      <w:bookmarkEnd w:id="305"/>
      <w:bookmarkEnd w:id="306"/>
      <w:bookmarkEnd w:id="30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环境监测计划。企业对</w:t>
      </w:r>
      <w:r>
        <w:rPr>
          <w:rFonts w:hint="eastAsia" w:ascii="Times New Roman" w:hAnsi="Times New Roman" w:eastAsia="宋体" w:cs="Times New Roman"/>
          <w:color w:val="000000"/>
          <w:sz w:val="24"/>
          <w:lang w:val="en-US" w:eastAsia="zh-CN"/>
        </w:rPr>
        <w:t>本项目</w:t>
      </w:r>
      <w:r>
        <w:rPr>
          <w:rFonts w:hint="default" w:ascii="Times New Roman" w:hAnsi="Times New Roman" w:eastAsia="宋体" w:cs="Times New Roman"/>
          <w:color w:val="000000"/>
          <w:sz w:val="24"/>
          <w:lang w:val="en-US" w:eastAsia="zh-CN"/>
        </w:rPr>
        <w:t>排气筒及厂界</w:t>
      </w:r>
      <w:r>
        <w:rPr>
          <w:rFonts w:hint="eastAsia" w:cs="Times New Roman"/>
          <w:color w:val="000000"/>
          <w:sz w:val="24"/>
          <w:lang w:val="en-US" w:eastAsia="zh-CN"/>
        </w:rPr>
        <w:t>无组织废气、</w:t>
      </w:r>
      <w:r>
        <w:rPr>
          <w:rFonts w:hint="default" w:ascii="Times New Roman" w:hAnsi="Times New Roman" w:eastAsia="宋体" w:cs="Times New Roman"/>
          <w:color w:val="000000"/>
          <w:sz w:val="24"/>
          <w:lang w:val="en-US" w:eastAsia="zh-CN"/>
        </w:rPr>
        <w:t>噪声进行了监测。根据监测结果，①</w:t>
      </w:r>
      <w:r>
        <w:rPr>
          <w:rFonts w:hint="eastAsia" w:cs="Times New Roman"/>
          <w:color w:val="000000"/>
          <w:sz w:val="24"/>
          <w:lang w:val="en-US" w:eastAsia="zh-CN"/>
        </w:rPr>
        <w:t>有组织废气能够达到</w:t>
      </w:r>
      <w:r>
        <w:rPr>
          <w:rFonts w:hint="eastAsia" w:ascii="Times New Roman" w:hAnsi="Times New Roman" w:eastAsia="宋体" w:cs="Times New Roman"/>
          <w:color w:val="000000"/>
          <w:sz w:val="24"/>
          <w:lang w:val="en-US" w:eastAsia="zh-CN"/>
        </w:rPr>
        <w:t>《大气污染物综合排放标准》（GB16297-1996）二级标准</w:t>
      </w:r>
      <w:r>
        <w:rPr>
          <w:rFonts w:hint="eastAsia"/>
          <w:color w:val="auto"/>
          <w:sz w:val="24"/>
        </w:rPr>
        <w:t>限值</w:t>
      </w:r>
      <w:r>
        <w:rPr>
          <w:rFonts w:hint="eastAsia" w:ascii="Times New Roman" w:hAnsi="Times New Roman" w:eastAsia="宋体" w:cs="Times New Roman"/>
          <w:color w:val="000000"/>
          <w:sz w:val="24"/>
          <w:lang w:val="en-US" w:eastAsia="zh-CN"/>
        </w:rPr>
        <w:t>要求；②</w:t>
      </w:r>
      <w:r>
        <w:rPr>
          <w:rFonts w:hint="eastAsia" w:cs="Times New Roman"/>
          <w:color w:val="000000"/>
          <w:sz w:val="24"/>
          <w:lang w:val="en-US" w:eastAsia="zh-CN"/>
        </w:rPr>
        <w:t>无组织废气</w:t>
      </w:r>
      <w:r>
        <w:rPr>
          <w:rFonts w:hint="default" w:ascii="Times New Roman" w:hAnsi="Times New Roman" w:eastAsia="宋体" w:cs="Times New Roman"/>
          <w:color w:val="000000"/>
          <w:sz w:val="24"/>
          <w:lang w:val="en-US" w:eastAsia="zh-CN"/>
        </w:rPr>
        <w:t>能够达到《大气污染物综合排放标准》（GB 16297-1996）表2无组织排放限值</w:t>
      </w:r>
      <w:r>
        <w:rPr>
          <w:rFonts w:hint="eastAsia" w:cs="Times New Roman"/>
          <w:color w:val="000000"/>
          <w:sz w:val="24"/>
          <w:lang w:val="en-US" w:eastAsia="zh-CN"/>
        </w:rPr>
        <w:t>要求；</w:t>
      </w:r>
      <w:r>
        <w:rPr>
          <w:rFonts w:hint="eastAsia" w:ascii="宋体" w:hAnsi="宋体" w:eastAsia="宋体" w:cs="宋体"/>
          <w:color w:val="000000"/>
          <w:sz w:val="24"/>
          <w:lang w:val="en-US" w:eastAsia="zh-CN"/>
        </w:rPr>
        <w:t>③</w:t>
      </w:r>
      <w:r>
        <w:rPr>
          <w:rFonts w:hint="default" w:ascii="Times New Roman" w:hAnsi="Times New Roman" w:eastAsia="宋体" w:cs="Times New Roman"/>
          <w:color w:val="000000"/>
          <w:sz w:val="24"/>
          <w:lang w:val="en-US" w:eastAsia="zh-CN"/>
        </w:rPr>
        <w:t>噪声能够达到《工业企业厂界环境噪声排放标准》（GB1234</w:t>
      </w:r>
      <w:r>
        <w:rPr>
          <w:rFonts w:hint="eastAsia" w:cs="Times New Roman"/>
          <w:color w:val="000000"/>
          <w:sz w:val="24"/>
          <w:lang w:val="en-US" w:eastAsia="zh-CN"/>
        </w:rPr>
        <w:t>8</w:t>
      </w:r>
      <w:r>
        <w:rPr>
          <w:rFonts w:hint="default" w:ascii="Times New Roman" w:hAnsi="Times New Roman" w:eastAsia="宋体" w:cs="Times New Roman"/>
          <w:color w:val="000000"/>
          <w:sz w:val="24"/>
          <w:lang w:val="en-US" w:eastAsia="zh-CN"/>
        </w:rPr>
        <w:t>-2008）</w:t>
      </w:r>
      <w:r>
        <w:rPr>
          <w:rFonts w:hint="eastAsia" w:eastAsia="宋体" w:cs="Times New Roman"/>
          <w:color w:val="000000"/>
          <w:sz w:val="24"/>
          <w:lang w:val="en-US" w:eastAsia="zh-CN"/>
        </w:rPr>
        <w:t>Ⅱ</w:t>
      </w:r>
      <w:r>
        <w:rPr>
          <w:rFonts w:hint="default" w:ascii="Times New Roman" w:hAnsi="Times New Roman" w:eastAsia="宋体" w:cs="Times New Roman"/>
          <w:color w:val="000000"/>
          <w:sz w:val="24"/>
          <w:lang w:val="en-US" w:eastAsia="zh-CN"/>
        </w:rPr>
        <w:t>类标准。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308" w:name="_Toc32313"/>
      <w:bookmarkStart w:id="309" w:name="_Toc3554"/>
      <w:bookmarkStart w:id="310" w:name="_Toc25196"/>
      <w:bookmarkStart w:id="311" w:name="_Toc29005"/>
      <w:bookmarkStart w:id="312" w:name="_Toc27572"/>
      <w:bookmarkStart w:id="313" w:name="_Toc4854"/>
      <w:bookmarkStart w:id="314" w:name="_Toc24853"/>
      <w:bookmarkStart w:id="315" w:name="_Toc698"/>
      <w:bookmarkStart w:id="316" w:name="_Toc29416"/>
      <w:bookmarkStart w:id="317" w:name="_Toc32320"/>
      <w:r>
        <w:rPr>
          <w:rFonts w:hint="default" w:ascii="Times New Roman" w:hAnsi="Times New Roman" w:eastAsia="宋体" w:cs="Times New Roman"/>
          <w:b/>
          <w:bCs/>
          <w:color w:val="000000"/>
          <w:sz w:val="24"/>
          <w:szCs w:val="24"/>
          <w:lang w:val="en-US" w:eastAsia="zh-CN"/>
        </w:rPr>
        <w:t>2.2配套措施落实情况</w:t>
      </w:r>
      <w:bookmarkEnd w:id="308"/>
      <w:bookmarkEnd w:id="309"/>
      <w:bookmarkEnd w:id="310"/>
      <w:bookmarkEnd w:id="311"/>
      <w:bookmarkEnd w:id="312"/>
      <w:bookmarkEnd w:id="313"/>
      <w:bookmarkEnd w:id="314"/>
      <w:bookmarkEnd w:id="315"/>
      <w:bookmarkEnd w:id="316"/>
      <w:bookmarkEnd w:id="31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（1）</w:t>
      </w:r>
      <w:r>
        <w:rPr>
          <w:rFonts w:hint="default" w:ascii="Times New Roman" w:hAnsi="Times New Roman" w:eastAsia="宋体" w:cs="Times New Roman"/>
          <w:color w:val="000000"/>
          <w:sz w:val="24"/>
          <w:lang w:val="en-US" w:eastAsia="zh-CN"/>
        </w:rPr>
        <w:t>本项目</w:t>
      </w:r>
      <w:r>
        <w:rPr>
          <w:rFonts w:hint="eastAsia" w:ascii="Times New Roman" w:hAnsi="Times New Roman" w:eastAsia="宋体" w:cs="Times New Roman"/>
          <w:color w:val="000000"/>
          <w:sz w:val="24"/>
          <w:lang w:val="en-US" w:eastAsia="zh-CN"/>
        </w:rPr>
        <w:t>主要是印花过程中产生的废气，经活性炭吸附处理后15m高排气筒排放</w:t>
      </w:r>
      <w:r>
        <w:rPr>
          <w:rFonts w:hint="default" w:ascii="Times New Roman" w:hAnsi="Times New Roman" w:eastAsia="宋体" w:cs="Times New Roman"/>
          <w:color w:val="000000"/>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（2）本项目废水主要是网版清洗废水，经处理后100%回用于清洗。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（3）</w:t>
      </w:r>
      <w:r>
        <w:rPr>
          <w:rFonts w:hint="eastAsia" w:ascii="Times New Roman" w:hAnsi="Times New Roman" w:eastAsia="宋体" w:cs="Times New Roman"/>
          <w:color w:val="000000"/>
          <w:sz w:val="24"/>
          <w:lang w:val="en-US" w:eastAsia="zh-CN"/>
        </w:rPr>
        <w:t>设备采取隔音、降噪、减震措施，减低噪声值，加强厂房隔音效果，确保噪声达到Ⅱ类区标准。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lang w:val="en-US" w:eastAsia="zh-CN"/>
        </w:rPr>
        <w:t>项目</w:t>
      </w:r>
      <w:r>
        <w:rPr>
          <w:rFonts w:hint="default" w:ascii="Times New Roman" w:hAnsi="Times New Roman" w:eastAsia="宋体" w:cs="Times New Roman"/>
          <w:color w:val="000000"/>
          <w:sz w:val="24"/>
          <w:szCs w:val="24"/>
        </w:rPr>
        <w:t>无卫生防护距离要求。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318" w:name="_Toc30672"/>
      <w:bookmarkStart w:id="319" w:name="_Toc2581"/>
      <w:bookmarkStart w:id="320" w:name="_Toc5863"/>
      <w:bookmarkStart w:id="321" w:name="_Toc23151"/>
      <w:bookmarkStart w:id="322" w:name="_Toc9144"/>
      <w:bookmarkStart w:id="323" w:name="_Toc14668"/>
      <w:bookmarkStart w:id="324" w:name="_Toc24898"/>
      <w:bookmarkStart w:id="325" w:name="_Toc921"/>
      <w:bookmarkStart w:id="326" w:name="_Toc2240"/>
      <w:bookmarkStart w:id="327" w:name="_Toc16841"/>
      <w:r>
        <w:rPr>
          <w:rFonts w:hint="default" w:ascii="Times New Roman" w:hAnsi="Times New Roman" w:eastAsia="宋体" w:cs="Times New Roman"/>
          <w:b/>
          <w:bCs/>
          <w:color w:val="000000"/>
          <w:sz w:val="24"/>
          <w:szCs w:val="24"/>
          <w:lang w:val="en-US" w:eastAsia="zh-CN"/>
        </w:rPr>
        <w:t>2.3其他措施落实情况</w:t>
      </w:r>
      <w:bookmarkEnd w:id="318"/>
      <w:bookmarkEnd w:id="319"/>
      <w:bookmarkEnd w:id="320"/>
      <w:bookmarkEnd w:id="321"/>
      <w:bookmarkEnd w:id="322"/>
      <w:bookmarkEnd w:id="323"/>
      <w:bookmarkEnd w:id="324"/>
      <w:bookmarkEnd w:id="325"/>
      <w:bookmarkEnd w:id="326"/>
      <w:bookmarkEnd w:id="32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本项目为</w:t>
      </w:r>
      <w:r>
        <w:rPr>
          <w:rFonts w:hint="eastAsia" w:cs="Times New Roman"/>
          <w:color w:val="000000"/>
          <w:sz w:val="24"/>
          <w:lang w:val="en-US" w:eastAsia="zh-CN"/>
        </w:rPr>
        <w:t>新建</w:t>
      </w:r>
      <w:r>
        <w:rPr>
          <w:rFonts w:hint="default" w:ascii="Times New Roman" w:hAnsi="Times New Roman" w:eastAsia="宋体" w:cs="Times New Roman"/>
          <w:color w:val="000000"/>
          <w:sz w:val="24"/>
          <w:lang w:val="en-US" w:eastAsia="zh-CN"/>
        </w:rPr>
        <w:t>项目，</w:t>
      </w:r>
      <w:r>
        <w:rPr>
          <w:rFonts w:hint="eastAsia" w:eastAsia="宋体" w:cs="Times New Roman"/>
          <w:color w:val="000000"/>
          <w:sz w:val="24"/>
          <w:lang w:val="en-US" w:eastAsia="zh-CN"/>
        </w:rPr>
        <w:t>环境现状较好，无工业污染情况，</w:t>
      </w:r>
      <w:r>
        <w:rPr>
          <w:rFonts w:hint="default" w:ascii="Times New Roman" w:hAnsi="Times New Roman" w:eastAsia="宋体" w:cs="Times New Roman"/>
          <w:color w:val="000000"/>
          <w:sz w:val="24"/>
          <w:lang w:val="en-US" w:eastAsia="zh-CN"/>
        </w:rPr>
        <w:t>不涉及林地补偿、珍稀动植物保护、区域环境整治、相关外围工程建设情况等其他措施。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sz w:val="28"/>
          <w:szCs w:val="28"/>
          <w:lang w:val="en-US" w:eastAsia="zh-CN"/>
        </w:rPr>
      </w:pPr>
      <w:bookmarkStart w:id="328" w:name="_Toc29339"/>
      <w:bookmarkStart w:id="329" w:name="_Toc6883"/>
      <w:bookmarkStart w:id="330" w:name="_Toc4542"/>
      <w:bookmarkStart w:id="331" w:name="_Toc3484"/>
      <w:bookmarkStart w:id="332" w:name="_Toc5027"/>
      <w:bookmarkStart w:id="333" w:name="_Toc29445"/>
      <w:bookmarkStart w:id="334" w:name="_Toc15067"/>
      <w:bookmarkStart w:id="335" w:name="_Toc30954"/>
      <w:bookmarkStart w:id="336" w:name="_Toc4351"/>
      <w:bookmarkStart w:id="337" w:name="_Toc5984"/>
      <w:r>
        <w:rPr>
          <w:rFonts w:hint="default" w:ascii="Times New Roman" w:hAnsi="Times New Roman" w:eastAsia="宋体" w:cs="Times New Roman"/>
          <w:b/>
          <w:bCs/>
          <w:color w:val="000000"/>
          <w:sz w:val="28"/>
          <w:szCs w:val="28"/>
          <w:lang w:val="en-US" w:eastAsia="zh-CN"/>
        </w:rPr>
        <w:t>3、整改工作情况</w:t>
      </w:r>
      <w:bookmarkEnd w:id="328"/>
      <w:bookmarkEnd w:id="329"/>
      <w:bookmarkEnd w:id="330"/>
      <w:bookmarkEnd w:id="331"/>
      <w:bookmarkEnd w:id="332"/>
      <w:bookmarkEnd w:id="333"/>
      <w:bookmarkEnd w:id="334"/>
      <w:bookmarkEnd w:id="335"/>
      <w:bookmarkEnd w:id="336"/>
      <w:bookmarkEnd w:id="33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工程竣工验收期间，涉及的整改措施为：严格遵守环保法律法规，强化从事环保工作人员业务培训，完善各项环境保护管理和监测制度，重点加强对污染治理设施的维护、保养和运行管理，完善运行台账记录。确保各项污染物长期稳定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outlineLvl w:val="9"/>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宁波市海曙古林宏通印花厂（普通合伙）</w:t>
      </w:r>
    </w:p>
    <w:p>
      <w:pPr>
        <w:pStyle w:val="4"/>
        <w:ind w:firstLine="0" w:firstLineChars="0"/>
        <w:jc w:val="right"/>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202</w:t>
      </w:r>
      <w:r>
        <w:rPr>
          <w:rFonts w:hint="eastAsia" w:eastAsia="宋体" w:cs="Times New Roman"/>
          <w:color w:val="000000"/>
          <w:sz w:val="24"/>
          <w:lang w:val="en-US" w:eastAsia="zh-CN"/>
        </w:rPr>
        <w:t>2</w:t>
      </w:r>
      <w:r>
        <w:rPr>
          <w:rFonts w:hint="eastAsia" w:ascii="Times New Roman" w:hAnsi="Times New Roman" w:eastAsia="宋体" w:cs="Times New Roman"/>
          <w:color w:val="000000"/>
          <w:sz w:val="24"/>
          <w:lang w:val="en-US" w:eastAsia="zh-CN"/>
        </w:rPr>
        <w:t>年</w:t>
      </w:r>
      <w:r>
        <w:rPr>
          <w:rFonts w:hint="eastAsia" w:eastAsia="宋体" w:cs="Times New Roman"/>
          <w:color w:val="000000"/>
          <w:sz w:val="24"/>
          <w:lang w:val="en-US" w:eastAsia="zh-CN"/>
        </w:rPr>
        <w:t>2</w:t>
      </w:r>
      <w:r>
        <w:rPr>
          <w:rFonts w:hint="eastAsia" w:ascii="Times New Roman" w:hAnsi="Times New Roman" w:eastAsia="宋体" w:cs="Times New Roman"/>
          <w:color w:val="000000"/>
          <w:sz w:val="24"/>
          <w:lang w:val="en-US" w:eastAsia="zh-CN"/>
        </w:rPr>
        <w:t>月</w:t>
      </w:r>
      <w:r>
        <w:rPr>
          <w:rFonts w:hint="eastAsia" w:eastAsia="宋体" w:cs="Times New Roman"/>
          <w:color w:val="000000"/>
          <w:sz w:val="24"/>
          <w:lang w:val="en-US" w:eastAsia="zh-CN"/>
        </w:rPr>
        <w:t>28</w:t>
      </w:r>
      <w:r>
        <w:rPr>
          <w:rFonts w:hint="eastAsia" w:ascii="Times New Roman" w:hAnsi="Times New Roman" w:eastAsia="宋体" w:cs="Times New Roman"/>
          <w:color w:val="000000"/>
          <w:sz w:val="24"/>
          <w:lang w:val="en-US" w:eastAsia="zh-CN"/>
        </w:rPr>
        <w:t>日</w:t>
      </w:r>
    </w:p>
    <w:p>
      <w:pPr>
        <w:pStyle w:val="4"/>
        <w:ind w:firstLine="0" w:firstLineChars="0"/>
        <w:jc w:val="center"/>
      </w:pPr>
    </w:p>
    <w:sectPr>
      <w:pgSz w:w="11907" w:h="16839"/>
      <w:pgMar w:top="1417" w:right="1417" w:bottom="1417" w:left="1417" w:header="1134" w:footer="1134" w:gutter="0"/>
      <w:pgBorders>
        <w:top w:val="none" w:sz="0" w:space="0"/>
        <w:left w:val="none" w:sz="0" w:space="0"/>
        <w:bottom w:val="none" w:sz="0" w:space="0"/>
        <w:right w:val="none" w:sz="0" w:space="0"/>
      </w:pgBorders>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2522855</wp:posOffset>
              </wp:positionH>
              <wp:positionV relativeFrom="paragraph">
                <wp:posOffset>-165100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8.65pt;margin-top:-13pt;height:144pt;width:144pt;mso-position-horizontal-relative:margin;mso-wrap-style:none;z-index:251659264;mso-width-relative:page;mso-height-relative:page;" filled="f" stroked="f" coordsize="21600,21600" o:gfxdata="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JZzMXYAAAACwEAAA8AAAAAAAAAAQAgAAAAIgAAAGRycy9kb3ducmV2Lnht&#10;bFBLAQIUABQAAAAIAIdO4kCk+9p2MgIAAGMEAAAOAAAAAAAAAAEAIAAAACcBAABkcnMvZTJvRG9j&#10;LnhtbFBLBQYAAAAABgAGAFkBAADLBQAAAAA=&#10;">
              <v:fill on="f" focussize="0,0"/>
              <v:stroke on="f" weight="0.5pt"/>
              <v:imagedata o:title=""/>
              <o:lock v:ext="edit" aspectratio="f"/>
              <v:textbox inset="0mm,0mm,0mm,0mm" style="mso-fit-shape-to-text:t;">
                <w:txbxContent>
                  <w:p>
                    <w:pPr>
                      <w:pStyle w:val="24"/>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16001"/>
    <w:multiLevelType w:val="singleLevel"/>
    <w:tmpl w:val="88E16001"/>
    <w:lvl w:ilvl="0" w:tentative="0">
      <w:start w:val="1"/>
      <w:numFmt w:val="decimal"/>
      <w:suff w:val="nothing"/>
      <w:lvlText w:val="%1）"/>
      <w:lvlJc w:val="left"/>
    </w:lvl>
  </w:abstractNum>
  <w:abstractNum w:abstractNumId="1">
    <w:nsid w:val="CF22F369"/>
    <w:multiLevelType w:val="singleLevel"/>
    <w:tmpl w:val="CF22F369"/>
    <w:lvl w:ilvl="0" w:tentative="0">
      <w:start w:val="1"/>
      <w:numFmt w:val="decimal"/>
      <w:suff w:val="nothing"/>
      <w:lvlText w:val="%1、"/>
      <w:lvlJc w:val="left"/>
    </w:lvl>
  </w:abstractNum>
  <w:abstractNum w:abstractNumId="2">
    <w:nsid w:val="133FB79F"/>
    <w:multiLevelType w:val="singleLevel"/>
    <w:tmpl w:val="133FB79F"/>
    <w:lvl w:ilvl="0" w:tentative="0">
      <w:start w:val="1"/>
      <w:numFmt w:val="decimal"/>
      <w:suff w:val="nothing"/>
      <w:lvlText w:val="%1、"/>
      <w:lvlJc w:val="left"/>
    </w:lvl>
  </w:abstractNum>
  <w:abstractNum w:abstractNumId="3">
    <w:nsid w:val="4CEC45CD"/>
    <w:multiLevelType w:val="multilevel"/>
    <w:tmpl w:val="4CEC45CD"/>
    <w:lvl w:ilvl="0" w:tentative="0">
      <w:start w:val="1"/>
      <w:numFmt w:val="decimal"/>
      <w:pStyle w:val="3"/>
      <w:lvlText w:val="%1"/>
      <w:lvlJc w:val="left"/>
      <w:pPr>
        <w:tabs>
          <w:tab w:val="left" w:pos="0"/>
        </w:tabs>
        <w:ind w:left="0" w:firstLine="0"/>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lvlText w:val="%1.%2.%3"/>
      <w:lvlJc w:val="left"/>
      <w:pPr>
        <w:tabs>
          <w:tab w:val="left" w:pos="1135"/>
        </w:tabs>
        <w:ind w:left="568" w:firstLine="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266"/>
    <w:rsid w:val="00000660"/>
    <w:rsid w:val="000009E2"/>
    <w:rsid w:val="00000DD6"/>
    <w:rsid w:val="00001B9E"/>
    <w:rsid w:val="00001BE2"/>
    <w:rsid w:val="00001C97"/>
    <w:rsid w:val="00002024"/>
    <w:rsid w:val="00002ABB"/>
    <w:rsid w:val="00003187"/>
    <w:rsid w:val="00003C30"/>
    <w:rsid w:val="00003EC6"/>
    <w:rsid w:val="00004052"/>
    <w:rsid w:val="000040DA"/>
    <w:rsid w:val="0000417C"/>
    <w:rsid w:val="0000431C"/>
    <w:rsid w:val="00004455"/>
    <w:rsid w:val="00004472"/>
    <w:rsid w:val="000044E5"/>
    <w:rsid w:val="00004FB0"/>
    <w:rsid w:val="000054F7"/>
    <w:rsid w:val="000059C8"/>
    <w:rsid w:val="000073DD"/>
    <w:rsid w:val="00007EAC"/>
    <w:rsid w:val="000105E8"/>
    <w:rsid w:val="0001068F"/>
    <w:rsid w:val="000106B5"/>
    <w:rsid w:val="00010E68"/>
    <w:rsid w:val="000114AE"/>
    <w:rsid w:val="00011953"/>
    <w:rsid w:val="0001259C"/>
    <w:rsid w:val="00012619"/>
    <w:rsid w:val="0001267D"/>
    <w:rsid w:val="000132DC"/>
    <w:rsid w:val="0001343B"/>
    <w:rsid w:val="0001353F"/>
    <w:rsid w:val="0001374E"/>
    <w:rsid w:val="00013C0E"/>
    <w:rsid w:val="0001507D"/>
    <w:rsid w:val="0001546A"/>
    <w:rsid w:val="00015ED0"/>
    <w:rsid w:val="0001631A"/>
    <w:rsid w:val="00016335"/>
    <w:rsid w:val="00016341"/>
    <w:rsid w:val="00016454"/>
    <w:rsid w:val="000165F6"/>
    <w:rsid w:val="00016ABE"/>
    <w:rsid w:val="00016B81"/>
    <w:rsid w:val="000175E3"/>
    <w:rsid w:val="00017831"/>
    <w:rsid w:val="000179FB"/>
    <w:rsid w:val="00017BE4"/>
    <w:rsid w:val="00017D6D"/>
    <w:rsid w:val="000204F6"/>
    <w:rsid w:val="000207F2"/>
    <w:rsid w:val="00020A85"/>
    <w:rsid w:val="0002145F"/>
    <w:rsid w:val="000215AB"/>
    <w:rsid w:val="0002164B"/>
    <w:rsid w:val="00021D25"/>
    <w:rsid w:val="00022644"/>
    <w:rsid w:val="000229A7"/>
    <w:rsid w:val="000231F1"/>
    <w:rsid w:val="0002351F"/>
    <w:rsid w:val="00023D66"/>
    <w:rsid w:val="0002415F"/>
    <w:rsid w:val="00024325"/>
    <w:rsid w:val="00024484"/>
    <w:rsid w:val="0002473B"/>
    <w:rsid w:val="00024907"/>
    <w:rsid w:val="00024BF4"/>
    <w:rsid w:val="000255C0"/>
    <w:rsid w:val="00025DC5"/>
    <w:rsid w:val="000264EE"/>
    <w:rsid w:val="0002666B"/>
    <w:rsid w:val="00026B50"/>
    <w:rsid w:val="00026C14"/>
    <w:rsid w:val="000274E1"/>
    <w:rsid w:val="000276C6"/>
    <w:rsid w:val="00027ED0"/>
    <w:rsid w:val="00027EF5"/>
    <w:rsid w:val="0003043A"/>
    <w:rsid w:val="00030D2B"/>
    <w:rsid w:val="0003100D"/>
    <w:rsid w:val="0003120A"/>
    <w:rsid w:val="0003129E"/>
    <w:rsid w:val="000312B2"/>
    <w:rsid w:val="0003131F"/>
    <w:rsid w:val="000317BD"/>
    <w:rsid w:val="00031814"/>
    <w:rsid w:val="000321E6"/>
    <w:rsid w:val="0003411A"/>
    <w:rsid w:val="00034413"/>
    <w:rsid w:val="000346E3"/>
    <w:rsid w:val="00034C21"/>
    <w:rsid w:val="0003517C"/>
    <w:rsid w:val="000351A5"/>
    <w:rsid w:val="0003570B"/>
    <w:rsid w:val="00035CB2"/>
    <w:rsid w:val="000361A6"/>
    <w:rsid w:val="000366A0"/>
    <w:rsid w:val="00036D72"/>
    <w:rsid w:val="00036D87"/>
    <w:rsid w:val="0003705E"/>
    <w:rsid w:val="000375B9"/>
    <w:rsid w:val="000377DF"/>
    <w:rsid w:val="0004073A"/>
    <w:rsid w:val="000412B7"/>
    <w:rsid w:val="00041499"/>
    <w:rsid w:val="000415C8"/>
    <w:rsid w:val="00041EF5"/>
    <w:rsid w:val="000423B3"/>
    <w:rsid w:val="00042830"/>
    <w:rsid w:val="00042844"/>
    <w:rsid w:val="00042CD2"/>
    <w:rsid w:val="00042FDB"/>
    <w:rsid w:val="0004315B"/>
    <w:rsid w:val="00043E21"/>
    <w:rsid w:val="00043FFC"/>
    <w:rsid w:val="00044242"/>
    <w:rsid w:val="000442E5"/>
    <w:rsid w:val="000443D8"/>
    <w:rsid w:val="00044B90"/>
    <w:rsid w:val="00044C51"/>
    <w:rsid w:val="00045357"/>
    <w:rsid w:val="0004581D"/>
    <w:rsid w:val="00045AEF"/>
    <w:rsid w:val="00045DDF"/>
    <w:rsid w:val="00046161"/>
    <w:rsid w:val="000462FA"/>
    <w:rsid w:val="00046788"/>
    <w:rsid w:val="00046F07"/>
    <w:rsid w:val="000478FF"/>
    <w:rsid w:val="000501C8"/>
    <w:rsid w:val="00050B8E"/>
    <w:rsid w:val="00050CB7"/>
    <w:rsid w:val="0005126A"/>
    <w:rsid w:val="00051C93"/>
    <w:rsid w:val="00051E89"/>
    <w:rsid w:val="00051FB2"/>
    <w:rsid w:val="0005258F"/>
    <w:rsid w:val="0005274C"/>
    <w:rsid w:val="00052C0A"/>
    <w:rsid w:val="00052F28"/>
    <w:rsid w:val="0005312F"/>
    <w:rsid w:val="0005349D"/>
    <w:rsid w:val="00053C3E"/>
    <w:rsid w:val="00053C7A"/>
    <w:rsid w:val="00053CDC"/>
    <w:rsid w:val="00054229"/>
    <w:rsid w:val="00054D72"/>
    <w:rsid w:val="00054F75"/>
    <w:rsid w:val="00055082"/>
    <w:rsid w:val="00055165"/>
    <w:rsid w:val="0005568D"/>
    <w:rsid w:val="00055C89"/>
    <w:rsid w:val="00056266"/>
    <w:rsid w:val="00056834"/>
    <w:rsid w:val="00056AD7"/>
    <w:rsid w:val="0005744E"/>
    <w:rsid w:val="000575BE"/>
    <w:rsid w:val="00060055"/>
    <w:rsid w:val="00060340"/>
    <w:rsid w:val="00060872"/>
    <w:rsid w:val="00060992"/>
    <w:rsid w:val="000618A9"/>
    <w:rsid w:val="00061BD2"/>
    <w:rsid w:val="00061E7C"/>
    <w:rsid w:val="00062734"/>
    <w:rsid w:val="000628CC"/>
    <w:rsid w:val="0006294C"/>
    <w:rsid w:val="000630B6"/>
    <w:rsid w:val="000637BE"/>
    <w:rsid w:val="000639B1"/>
    <w:rsid w:val="00064238"/>
    <w:rsid w:val="00064500"/>
    <w:rsid w:val="00064A90"/>
    <w:rsid w:val="00064CD3"/>
    <w:rsid w:val="0006518D"/>
    <w:rsid w:val="00065754"/>
    <w:rsid w:val="000657A2"/>
    <w:rsid w:val="00065AF4"/>
    <w:rsid w:val="00065BC5"/>
    <w:rsid w:val="00065D13"/>
    <w:rsid w:val="000660F6"/>
    <w:rsid w:val="00066170"/>
    <w:rsid w:val="00066FA6"/>
    <w:rsid w:val="00066FEB"/>
    <w:rsid w:val="00067011"/>
    <w:rsid w:val="000679EB"/>
    <w:rsid w:val="00070021"/>
    <w:rsid w:val="0007027F"/>
    <w:rsid w:val="0007103A"/>
    <w:rsid w:val="000718CE"/>
    <w:rsid w:val="0007255D"/>
    <w:rsid w:val="00072754"/>
    <w:rsid w:val="00072A81"/>
    <w:rsid w:val="00072E05"/>
    <w:rsid w:val="00073E8A"/>
    <w:rsid w:val="00074276"/>
    <w:rsid w:val="00074CC0"/>
    <w:rsid w:val="0007537D"/>
    <w:rsid w:val="00075580"/>
    <w:rsid w:val="000759A4"/>
    <w:rsid w:val="00075A3D"/>
    <w:rsid w:val="00075AFF"/>
    <w:rsid w:val="00076402"/>
    <w:rsid w:val="000764ED"/>
    <w:rsid w:val="00076975"/>
    <w:rsid w:val="00076A62"/>
    <w:rsid w:val="00076C88"/>
    <w:rsid w:val="00080473"/>
    <w:rsid w:val="00080692"/>
    <w:rsid w:val="00080C1D"/>
    <w:rsid w:val="00080C81"/>
    <w:rsid w:val="0008126F"/>
    <w:rsid w:val="000812BA"/>
    <w:rsid w:val="0008194E"/>
    <w:rsid w:val="00081ACD"/>
    <w:rsid w:val="00081BE5"/>
    <w:rsid w:val="0008206B"/>
    <w:rsid w:val="00082949"/>
    <w:rsid w:val="00082973"/>
    <w:rsid w:val="00082D00"/>
    <w:rsid w:val="00082F6C"/>
    <w:rsid w:val="00083120"/>
    <w:rsid w:val="000833BA"/>
    <w:rsid w:val="0008365B"/>
    <w:rsid w:val="0008371E"/>
    <w:rsid w:val="00083D64"/>
    <w:rsid w:val="000840A6"/>
    <w:rsid w:val="0008421C"/>
    <w:rsid w:val="00084525"/>
    <w:rsid w:val="00084A1E"/>
    <w:rsid w:val="00084BA2"/>
    <w:rsid w:val="00085280"/>
    <w:rsid w:val="00085E70"/>
    <w:rsid w:val="00085FB2"/>
    <w:rsid w:val="00086012"/>
    <w:rsid w:val="0008629A"/>
    <w:rsid w:val="00086EEE"/>
    <w:rsid w:val="0008717B"/>
    <w:rsid w:val="000871FE"/>
    <w:rsid w:val="0008748D"/>
    <w:rsid w:val="000874E0"/>
    <w:rsid w:val="000875B6"/>
    <w:rsid w:val="000875DE"/>
    <w:rsid w:val="00087B12"/>
    <w:rsid w:val="0009035A"/>
    <w:rsid w:val="00091C77"/>
    <w:rsid w:val="00092B7A"/>
    <w:rsid w:val="00092EFD"/>
    <w:rsid w:val="00093208"/>
    <w:rsid w:val="00094002"/>
    <w:rsid w:val="000940DE"/>
    <w:rsid w:val="0009489C"/>
    <w:rsid w:val="0009491E"/>
    <w:rsid w:val="0009575E"/>
    <w:rsid w:val="00095D42"/>
    <w:rsid w:val="00095D74"/>
    <w:rsid w:val="000962E6"/>
    <w:rsid w:val="00096E17"/>
    <w:rsid w:val="00097850"/>
    <w:rsid w:val="00097FC5"/>
    <w:rsid w:val="000A0669"/>
    <w:rsid w:val="000A10CC"/>
    <w:rsid w:val="000A167E"/>
    <w:rsid w:val="000A1869"/>
    <w:rsid w:val="000A1B96"/>
    <w:rsid w:val="000A21B0"/>
    <w:rsid w:val="000A239B"/>
    <w:rsid w:val="000A2F55"/>
    <w:rsid w:val="000A3210"/>
    <w:rsid w:val="000A3769"/>
    <w:rsid w:val="000A4161"/>
    <w:rsid w:val="000A41BD"/>
    <w:rsid w:val="000A4755"/>
    <w:rsid w:val="000A5D90"/>
    <w:rsid w:val="000A5FC0"/>
    <w:rsid w:val="000A6184"/>
    <w:rsid w:val="000A6C01"/>
    <w:rsid w:val="000A6F30"/>
    <w:rsid w:val="000A6F89"/>
    <w:rsid w:val="000A78E0"/>
    <w:rsid w:val="000A7C26"/>
    <w:rsid w:val="000A7E85"/>
    <w:rsid w:val="000B0A4A"/>
    <w:rsid w:val="000B0E1D"/>
    <w:rsid w:val="000B1359"/>
    <w:rsid w:val="000B1920"/>
    <w:rsid w:val="000B1BE1"/>
    <w:rsid w:val="000B2011"/>
    <w:rsid w:val="000B2111"/>
    <w:rsid w:val="000B2357"/>
    <w:rsid w:val="000B3545"/>
    <w:rsid w:val="000B355E"/>
    <w:rsid w:val="000B3773"/>
    <w:rsid w:val="000B38D1"/>
    <w:rsid w:val="000B5205"/>
    <w:rsid w:val="000B5D2B"/>
    <w:rsid w:val="000B5FB1"/>
    <w:rsid w:val="000B65A0"/>
    <w:rsid w:val="000B6628"/>
    <w:rsid w:val="000B66A3"/>
    <w:rsid w:val="000B69B7"/>
    <w:rsid w:val="000B6EBB"/>
    <w:rsid w:val="000B7130"/>
    <w:rsid w:val="000B738B"/>
    <w:rsid w:val="000B7736"/>
    <w:rsid w:val="000B7D45"/>
    <w:rsid w:val="000C0856"/>
    <w:rsid w:val="000C1A32"/>
    <w:rsid w:val="000C1F73"/>
    <w:rsid w:val="000C1F75"/>
    <w:rsid w:val="000C2EC0"/>
    <w:rsid w:val="000C32B4"/>
    <w:rsid w:val="000C358F"/>
    <w:rsid w:val="000C3669"/>
    <w:rsid w:val="000C3994"/>
    <w:rsid w:val="000C4213"/>
    <w:rsid w:val="000C4457"/>
    <w:rsid w:val="000C47EF"/>
    <w:rsid w:val="000C4993"/>
    <w:rsid w:val="000C4C15"/>
    <w:rsid w:val="000C5258"/>
    <w:rsid w:val="000C5365"/>
    <w:rsid w:val="000C5657"/>
    <w:rsid w:val="000C58B2"/>
    <w:rsid w:val="000C5DB5"/>
    <w:rsid w:val="000C62FE"/>
    <w:rsid w:val="000C63CE"/>
    <w:rsid w:val="000C6855"/>
    <w:rsid w:val="000C6AD9"/>
    <w:rsid w:val="000C70A1"/>
    <w:rsid w:val="000C7AAE"/>
    <w:rsid w:val="000C7AC3"/>
    <w:rsid w:val="000C7C1E"/>
    <w:rsid w:val="000D01DF"/>
    <w:rsid w:val="000D04D0"/>
    <w:rsid w:val="000D10F9"/>
    <w:rsid w:val="000D1B3E"/>
    <w:rsid w:val="000D2C7C"/>
    <w:rsid w:val="000D2F6F"/>
    <w:rsid w:val="000D2FF5"/>
    <w:rsid w:val="000D3C2E"/>
    <w:rsid w:val="000D3E90"/>
    <w:rsid w:val="000D4513"/>
    <w:rsid w:val="000D4615"/>
    <w:rsid w:val="000D478E"/>
    <w:rsid w:val="000D4A4F"/>
    <w:rsid w:val="000D4E1E"/>
    <w:rsid w:val="000D50F4"/>
    <w:rsid w:val="000D55FE"/>
    <w:rsid w:val="000D64FF"/>
    <w:rsid w:val="000D66ED"/>
    <w:rsid w:val="000D72CD"/>
    <w:rsid w:val="000D7350"/>
    <w:rsid w:val="000D7756"/>
    <w:rsid w:val="000D7A8F"/>
    <w:rsid w:val="000E00B8"/>
    <w:rsid w:val="000E060F"/>
    <w:rsid w:val="000E0C21"/>
    <w:rsid w:val="000E1154"/>
    <w:rsid w:val="000E2331"/>
    <w:rsid w:val="000E31AA"/>
    <w:rsid w:val="000E31FC"/>
    <w:rsid w:val="000E3553"/>
    <w:rsid w:val="000E3871"/>
    <w:rsid w:val="000E3A51"/>
    <w:rsid w:val="000E3AF4"/>
    <w:rsid w:val="000E4222"/>
    <w:rsid w:val="000E48C6"/>
    <w:rsid w:val="000E516E"/>
    <w:rsid w:val="000E5749"/>
    <w:rsid w:val="000E581F"/>
    <w:rsid w:val="000E61DF"/>
    <w:rsid w:val="000E64A0"/>
    <w:rsid w:val="000E6F78"/>
    <w:rsid w:val="000E77C8"/>
    <w:rsid w:val="000F034F"/>
    <w:rsid w:val="000F0729"/>
    <w:rsid w:val="000F084C"/>
    <w:rsid w:val="000F09DD"/>
    <w:rsid w:val="000F23D3"/>
    <w:rsid w:val="000F3023"/>
    <w:rsid w:val="000F38BA"/>
    <w:rsid w:val="000F3CC4"/>
    <w:rsid w:val="000F3F7A"/>
    <w:rsid w:val="000F473B"/>
    <w:rsid w:val="000F4D42"/>
    <w:rsid w:val="000F557D"/>
    <w:rsid w:val="000F5A41"/>
    <w:rsid w:val="000F5A75"/>
    <w:rsid w:val="000F5B36"/>
    <w:rsid w:val="000F66F8"/>
    <w:rsid w:val="000F6A94"/>
    <w:rsid w:val="000F6E5B"/>
    <w:rsid w:val="000F79D4"/>
    <w:rsid w:val="000F7E61"/>
    <w:rsid w:val="00100869"/>
    <w:rsid w:val="0010283A"/>
    <w:rsid w:val="00102869"/>
    <w:rsid w:val="001036D5"/>
    <w:rsid w:val="0010381D"/>
    <w:rsid w:val="00103F30"/>
    <w:rsid w:val="00104440"/>
    <w:rsid w:val="00105431"/>
    <w:rsid w:val="00105A1F"/>
    <w:rsid w:val="00105ADD"/>
    <w:rsid w:val="0010626B"/>
    <w:rsid w:val="00106EE3"/>
    <w:rsid w:val="00110013"/>
    <w:rsid w:val="001111E7"/>
    <w:rsid w:val="00111208"/>
    <w:rsid w:val="00111B41"/>
    <w:rsid w:val="00112081"/>
    <w:rsid w:val="00112746"/>
    <w:rsid w:val="001129A0"/>
    <w:rsid w:val="00112A3A"/>
    <w:rsid w:val="00112B60"/>
    <w:rsid w:val="00113119"/>
    <w:rsid w:val="0011367C"/>
    <w:rsid w:val="00113FEC"/>
    <w:rsid w:val="00114582"/>
    <w:rsid w:val="00114955"/>
    <w:rsid w:val="00114D5B"/>
    <w:rsid w:val="00115F8C"/>
    <w:rsid w:val="001165C0"/>
    <w:rsid w:val="00116912"/>
    <w:rsid w:val="00116C27"/>
    <w:rsid w:val="00116DC1"/>
    <w:rsid w:val="00116E6E"/>
    <w:rsid w:val="00117038"/>
    <w:rsid w:val="00117186"/>
    <w:rsid w:val="00117213"/>
    <w:rsid w:val="00117C40"/>
    <w:rsid w:val="00120924"/>
    <w:rsid w:val="00120DEF"/>
    <w:rsid w:val="0012146D"/>
    <w:rsid w:val="001215FC"/>
    <w:rsid w:val="001218ED"/>
    <w:rsid w:val="00121E2C"/>
    <w:rsid w:val="00121EA1"/>
    <w:rsid w:val="00122217"/>
    <w:rsid w:val="001225F9"/>
    <w:rsid w:val="00122A6A"/>
    <w:rsid w:val="00122CFE"/>
    <w:rsid w:val="00122E9D"/>
    <w:rsid w:val="0012364A"/>
    <w:rsid w:val="0012394D"/>
    <w:rsid w:val="001239F7"/>
    <w:rsid w:val="00123E22"/>
    <w:rsid w:val="0012471C"/>
    <w:rsid w:val="00124858"/>
    <w:rsid w:val="001252B1"/>
    <w:rsid w:val="00125380"/>
    <w:rsid w:val="001258E0"/>
    <w:rsid w:val="00125903"/>
    <w:rsid w:val="00126568"/>
    <w:rsid w:val="00126CFC"/>
    <w:rsid w:val="00127294"/>
    <w:rsid w:val="001274CD"/>
    <w:rsid w:val="00127823"/>
    <w:rsid w:val="0013009D"/>
    <w:rsid w:val="001303E2"/>
    <w:rsid w:val="00130D4E"/>
    <w:rsid w:val="001310BC"/>
    <w:rsid w:val="001314D4"/>
    <w:rsid w:val="0013186A"/>
    <w:rsid w:val="00131FA6"/>
    <w:rsid w:val="001328B6"/>
    <w:rsid w:val="00132CCF"/>
    <w:rsid w:val="001330B8"/>
    <w:rsid w:val="0013393B"/>
    <w:rsid w:val="00133AE7"/>
    <w:rsid w:val="00134738"/>
    <w:rsid w:val="00134987"/>
    <w:rsid w:val="00135255"/>
    <w:rsid w:val="0013575D"/>
    <w:rsid w:val="00135DC4"/>
    <w:rsid w:val="001361FD"/>
    <w:rsid w:val="00136F19"/>
    <w:rsid w:val="00136F28"/>
    <w:rsid w:val="00137014"/>
    <w:rsid w:val="001374FC"/>
    <w:rsid w:val="00140020"/>
    <w:rsid w:val="00140B3C"/>
    <w:rsid w:val="0014123D"/>
    <w:rsid w:val="001414BB"/>
    <w:rsid w:val="001417B1"/>
    <w:rsid w:val="00141C1A"/>
    <w:rsid w:val="001422C0"/>
    <w:rsid w:val="001430EF"/>
    <w:rsid w:val="0014363D"/>
    <w:rsid w:val="00143BEE"/>
    <w:rsid w:val="00144131"/>
    <w:rsid w:val="00144753"/>
    <w:rsid w:val="001449D6"/>
    <w:rsid w:val="00144BEC"/>
    <w:rsid w:val="00147845"/>
    <w:rsid w:val="0014799F"/>
    <w:rsid w:val="00147C6A"/>
    <w:rsid w:val="00150B86"/>
    <w:rsid w:val="0015123D"/>
    <w:rsid w:val="001513AD"/>
    <w:rsid w:val="00151765"/>
    <w:rsid w:val="001517CA"/>
    <w:rsid w:val="00152073"/>
    <w:rsid w:val="0015228A"/>
    <w:rsid w:val="001524C0"/>
    <w:rsid w:val="001527A3"/>
    <w:rsid w:val="00152989"/>
    <w:rsid w:val="0015325E"/>
    <w:rsid w:val="00153292"/>
    <w:rsid w:val="001536CF"/>
    <w:rsid w:val="001536EF"/>
    <w:rsid w:val="00153835"/>
    <w:rsid w:val="00153BA9"/>
    <w:rsid w:val="00153BD1"/>
    <w:rsid w:val="00153CDA"/>
    <w:rsid w:val="00154256"/>
    <w:rsid w:val="001543BE"/>
    <w:rsid w:val="001545CF"/>
    <w:rsid w:val="00154728"/>
    <w:rsid w:val="00154D7A"/>
    <w:rsid w:val="001551CC"/>
    <w:rsid w:val="0015654F"/>
    <w:rsid w:val="00156573"/>
    <w:rsid w:val="0015674B"/>
    <w:rsid w:val="001567DC"/>
    <w:rsid w:val="0015695E"/>
    <w:rsid w:val="00157ECE"/>
    <w:rsid w:val="00160FF1"/>
    <w:rsid w:val="0016155B"/>
    <w:rsid w:val="001619C2"/>
    <w:rsid w:val="00161DFC"/>
    <w:rsid w:val="001622EF"/>
    <w:rsid w:val="0016243B"/>
    <w:rsid w:val="0016327F"/>
    <w:rsid w:val="0016329C"/>
    <w:rsid w:val="00163CC4"/>
    <w:rsid w:val="00164A68"/>
    <w:rsid w:val="00164D39"/>
    <w:rsid w:val="00164EBA"/>
    <w:rsid w:val="00164F95"/>
    <w:rsid w:val="00165236"/>
    <w:rsid w:val="001654EC"/>
    <w:rsid w:val="00165F7A"/>
    <w:rsid w:val="0016602E"/>
    <w:rsid w:val="0016606D"/>
    <w:rsid w:val="00166E03"/>
    <w:rsid w:val="00166EC0"/>
    <w:rsid w:val="0016783F"/>
    <w:rsid w:val="00167BBB"/>
    <w:rsid w:val="00170001"/>
    <w:rsid w:val="00170AF0"/>
    <w:rsid w:val="0017112C"/>
    <w:rsid w:val="00171383"/>
    <w:rsid w:val="001715F4"/>
    <w:rsid w:val="001717D5"/>
    <w:rsid w:val="00172545"/>
    <w:rsid w:val="0017274C"/>
    <w:rsid w:val="00172E65"/>
    <w:rsid w:val="00174970"/>
    <w:rsid w:val="00174EF1"/>
    <w:rsid w:val="001751A3"/>
    <w:rsid w:val="00175523"/>
    <w:rsid w:val="001757F4"/>
    <w:rsid w:val="00175B13"/>
    <w:rsid w:val="00176312"/>
    <w:rsid w:val="0017645E"/>
    <w:rsid w:val="001765CD"/>
    <w:rsid w:val="001766AC"/>
    <w:rsid w:val="00176784"/>
    <w:rsid w:val="00176A9E"/>
    <w:rsid w:val="00176DF2"/>
    <w:rsid w:val="001772D6"/>
    <w:rsid w:val="001773C2"/>
    <w:rsid w:val="00177825"/>
    <w:rsid w:val="001778A3"/>
    <w:rsid w:val="00177C84"/>
    <w:rsid w:val="001803D9"/>
    <w:rsid w:val="001805F2"/>
    <w:rsid w:val="00180F00"/>
    <w:rsid w:val="0018203B"/>
    <w:rsid w:val="0018260A"/>
    <w:rsid w:val="00182933"/>
    <w:rsid w:val="00182F8E"/>
    <w:rsid w:val="0018358B"/>
    <w:rsid w:val="00184CA3"/>
    <w:rsid w:val="00185714"/>
    <w:rsid w:val="00185860"/>
    <w:rsid w:val="001862FE"/>
    <w:rsid w:val="001868FC"/>
    <w:rsid w:val="00186958"/>
    <w:rsid w:val="0018796F"/>
    <w:rsid w:val="00187B02"/>
    <w:rsid w:val="00190C1D"/>
    <w:rsid w:val="00190D37"/>
    <w:rsid w:val="00190E0B"/>
    <w:rsid w:val="001911B9"/>
    <w:rsid w:val="001912C4"/>
    <w:rsid w:val="00191753"/>
    <w:rsid w:val="0019262C"/>
    <w:rsid w:val="00192957"/>
    <w:rsid w:val="00192C1C"/>
    <w:rsid w:val="001938BF"/>
    <w:rsid w:val="00194ECF"/>
    <w:rsid w:val="00194F1B"/>
    <w:rsid w:val="001950AE"/>
    <w:rsid w:val="001952E6"/>
    <w:rsid w:val="001953E6"/>
    <w:rsid w:val="0019554C"/>
    <w:rsid w:val="00195853"/>
    <w:rsid w:val="00196A6E"/>
    <w:rsid w:val="00196B92"/>
    <w:rsid w:val="00196CB9"/>
    <w:rsid w:val="00196D74"/>
    <w:rsid w:val="00196D7F"/>
    <w:rsid w:val="00196F4C"/>
    <w:rsid w:val="00197A0D"/>
    <w:rsid w:val="00197BF1"/>
    <w:rsid w:val="001A0037"/>
    <w:rsid w:val="001A00B8"/>
    <w:rsid w:val="001A0674"/>
    <w:rsid w:val="001A0937"/>
    <w:rsid w:val="001A0F20"/>
    <w:rsid w:val="001A1048"/>
    <w:rsid w:val="001A14C3"/>
    <w:rsid w:val="001A1DA1"/>
    <w:rsid w:val="001A1E3B"/>
    <w:rsid w:val="001A22F4"/>
    <w:rsid w:val="001A235C"/>
    <w:rsid w:val="001A2B41"/>
    <w:rsid w:val="001A34D3"/>
    <w:rsid w:val="001A37AB"/>
    <w:rsid w:val="001A3909"/>
    <w:rsid w:val="001A3B37"/>
    <w:rsid w:val="001A4049"/>
    <w:rsid w:val="001A409D"/>
    <w:rsid w:val="001A4480"/>
    <w:rsid w:val="001A5A7C"/>
    <w:rsid w:val="001A5C52"/>
    <w:rsid w:val="001A60D9"/>
    <w:rsid w:val="001A618E"/>
    <w:rsid w:val="001A648B"/>
    <w:rsid w:val="001A65E8"/>
    <w:rsid w:val="001A6972"/>
    <w:rsid w:val="001A7EC1"/>
    <w:rsid w:val="001B0324"/>
    <w:rsid w:val="001B0976"/>
    <w:rsid w:val="001B0CEF"/>
    <w:rsid w:val="001B10A9"/>
    <w:rsid w:val="001B1BFF"/>
    <w:rsid w:val="001B21E6"/>
    <w:rsid w:val="001B21FE"/>
    <w:rsid w:val="001B26DB"/>
    <w:rsid w:val="001B289A"/>
    <w:rsid w:val="001B2CEE"/>
    <w:rsid w:val="001B2F19"/>
    <w:rsid w:val="001B32A0"/>
    <w:rsid w:val="001B3358"/>
    <w:rsid w:val="001B37FE"/>
    <w:rsid w:val="001B3E04"/>
    <w:rsid w:val="001B4511"/>
    <w:rsid w:val="001B4BAD"/>
    <w:rsid w:val="001B53B5"/>
    <w:rsid w:val="001B5C5C"/>
    <w:rsid w:val="001B6871"/>
    <w:rsid w:val="001B767E"/>
    <w:rsid w:val="001B77B2"/>
    <w:rsid w:val="001B7C3D"/>
    <w:rsid w:val="001B7C98"/>
    <w:rsid w:val="001C0213"/>
    <w:rsid w:val="001C0325"/>
    <w:rsid w:val="001C03E2"/>
    <w:rsid w:val="001C0947"/>
    <w:rsid w:val="001C0C09"/>
    <w:rsid w:val="001C0D15"/>
    <w:rsid w:val="001C1061"/>
    <w:rsid w:val="001C283C"/>
    <w:rsid w:val="001C2A80"/>
    <w:rsid w:val="001C3006"/>
    <w:rsid w:val="001C3117"/>
    <w:rsid w:val="001C40F9"/>
    <w:rsid w:val="001C43AE"/>
    <w:rsid w:val="001C4453"/>
    <w:rsid w:val="001C4E2D"/>
    <w:rsid w:val="001C4E7D"/>
    <w:rsid w:val="001C5130"/>
    <w:rsid w:val="001C5422"/>
    <w:rsid w:val="001C5BA3"/>
    <w:rsid w:val="001C75A7"/>
    <w:rsid w:val="001C7D9E"/>
    <w:rsid w:val="001C7EB8"/>
    <w:rsid w:val="001D0634"/>
    <w:rsid w:val="001D08CB"/>
    <w:rsid w:val="001D0F85"/>
    <w:rsid w:val="001D12EC"/>
    <w:rsid w:val="001D144D"/>
    <w:rsid w:val="001D1568"/>
    <w:rsid w:val="001D18B2"/>
    <w:rsid w:val="001D18E7"/>
    <w:rsid w:val="001D1BD8"/>
    <w:rsid w:val="001D27D3"/>
    <w:rsid w:val="001D2A04"/>
    <w:rsid w:val="001D2C51"/>
    <w:rsid w:val="001D3E99"/>
    <w:rsid w:val="001D45D8"/>
    <w:rsid w:val="001D4696"/>
    <w:rsid w:val="001D521C"/>
    <w:rsid w:val="001D534B"/>
    <w:rsid w:val="001D54FD"/>
    <w:rsid w:val="001D5657"/>
    <w:rsid w:val="001D6629"/>
    <w:rsid w:val="001D76A8"/>
    <w:rsid w:val="001D7D74"/>
    <w:rsid w:val="001E0171"/>
    <w:rsid w:val="001E0298"/>
    <w:rsid w:val="001E05C0"/>
    <w:rsid w:val="001E0A47"/>
    <w:rsid w:val="001E104C"/>
    <w:rsid w:val="001E1680"/>
    <w:rsid w:val="001E2483"/>
    <w:rsid w:val="001E3413"/>
    <w:rsid w:val="001E394C"/>
    <w:rsid w:val="001E44FD"/>
    <w:rsid w:val="001E454D"/>
    <w:rsid w:val="001E50E9"/>
    <w:rsid w:val="001E582A"/>
    <w:rsid w:val="001E6827"/>
    <w:rsid w:val="001E68FC"/>
    <w:rsid w:val="001E6EEC"/>
    <w:rsid w:val="001E7060"/>
    <w:rsid w:val="001E7BDA"/>
    <w:rsid w:val="001E7C80"/>
    <w:rsid w:val="001F00E3"/>
    <w:rsid w:val="001F04F7"/>
    <w:rsid w:val="001F152A"/>
    <w:rsid w:val="001F16AE"/>
    <w:rsid w:val="001F16F1"/>
    <w:rsid w:val="001F2017"/>
    <w:rsid w:val="001F2158"/>
    <w:rsid w:val="001F24CD"/>
    <w:rsid w:val="001F2D54"/>
    <w:rsid w:val="001F2EAA"/>
    <w:rsid w:val="001F35DD"/>
    <w:rsid w:val="001F414E"/>
    <w:rsid w:val="001F4BD9"/>
    <w:rsid w:val="001F4C1C"/>
    <w:rsid w:val="001F4CEC"/>
    <w:rsid w:val="001F4D03"/>
    <w:rsid w:val="001F556B"/>
    <w:rsid w:val="001F59E9"/>
    <w:rsid w:val="001F5B61"/>
    <w:rsid w:val="001F5C70"/>
    <w:rsid w:val="001F64ED"/>
    <w:rsid w:val="001F7291"/>
    <w:rsid w:val="001F7344"/>
    <w:rsid w:val="001F7E53"/>
    <w:rsid w:val="001F7F9F"/>
    <w:rsid w:val="002002B7"/>
    <w:rsid w:val="002002F2"/>
    <w:rsid w:val="0020081C"/>
    <w:rsid w:val="00200AF2"/>
    <w:rsid w:val="00200C7E"/>
    <w:rsid w:val="00200CE8"/>
    <w:rsid w:val="00201617"/>
    <w:rsid w:val="00201668"/>
    <w:rsid w:val="00201C2E"/>
    <w:rsid w:val="00202004"/>
    <w:rsid w:val="00202BC5"/>
    <w:rsid w:val="00202E03"/>
    <w:rsid w:val="002030A8"/>
    <w:rsid w:val="00203CE8"/>
    <w:rsid w:val="00203D0A"/>
    <w:rsid w:val="00204D74"/>
    <w:rsid w:val="00204FB4"/>
    <w:rsid w:val="00205440"/>
    <w:rsid w:val="00205B77"/>
    <w:rsid w:val="00207162"/>
    <w:rsid w:val="00207902"/>
    <w:rsid w:val="00207F7D"/>
    <w:rsid w:val="002104B3"/>
    <w:rsid w:val="00210591"/>
    <w:rsid w:val="00211907"/>
    <w:rsid w:val="00211C68"/>
    <w:rsid w:val="00211E82"/>
    <w:rsid w:val="002121F6"/>
    <w:rsid w:val="00212262"/>
    <w:rsid w:val="00212548"/>
    <w:rsid w:val="00212A4C"/>
    <w:rsid w:val="00213245"/>
    <w:rsid w:val="00213F9A"/>
    <w:rsid w:val="00214BF1"/>
    <w:rsid w:val="00214D3C"/>
    <w:rsid w:val="00214EBA"/>
    <w:rsid w:val="0021578B"/>
    <w:rsid w:val="002158EB"/>
    <w:rsid w:val="00215919"/>
    <w:rsid w:val="002168B9"/>
    <w:rsid w:val="002169F6"/>
    <w:rsid w:val="00216E39"/>
    <w:rsid w:val="002170AA"/>
    <w:rsid w:val="00217D93"/>
    <w:rsid w:val="002206CD"/>
    <w:rsid w:val="00220B12"/>
    <w:rsid w:val="00221116"/>
    <w:rsid w:val="002217E0"/>
    <w:rsid w:val="002218C2"/>
    <w:rsid w:val="002219AB"/>
    <w:rsid w:val="00221FCE"/>
    <w:rsid w:val="0022200B"/>
    <w:rsid w:val="0022252F"/>
    <w:rsid w:val="00222FB1"/>
    <w:rsid w:val="002230DA"/>
    <w:rsid w:val="002230EC"/>
    <w:rsid w:val="002239EF"/>
    <w:rsid w:val="00223E12"/>
    <w:rsid w:val="002242F7"/>
    <w:rsid w:val="00224333"/>
    <w:rsid w:val="00224358"/>
    <w:rsid w:val="00224689"/>
    <w:rsid w:val="00224FEB"/>
    <w:rsid w:val="00225846"/>
    <w:rsid w:val="00225ADA"/>
    <w:rsid w:val="00225AEE"/>
    <w:rsid w:val="0022604E"/>
    <w:rsid w:val="002261C5"/>
    <w:rsid w:val="0022628D"/>
    <w:rsid w:val="00227C42"/>
    <w:rsid w:val="0023010F"/>
    <w:rsid w:val="0023025B"/>
    <w:rsid w:val="002306E2"/>
    <w:rsid w:val="00230B42"/>
    <w:rsid w:val="0023101B"/>
    <w:rsid w:val="00231D09"/>
    <w:rsid w:val="00232761"/>
    <w:rsid w:val="00232898"/>
    <w:rsid w:val="00233142"/>
    <w:rsid w:val="00233548"/>
    <w:rsid w:val="00233826"/>
    <w:rsid w:val="00233875"/>
    <w:rsid w:val="00233B12"/>
    <w:rsid w:val="00233C31"/>
    <w:rsid w:val="0023428F"/>
    <w:rsid w:val="002348C2"/>
    <w:rsid w:val="00234983"/>
    <w:rsid w:val="00234ED3"/>
    <w:rsid w:val="002359EF"/>
    <w:rsid w:val="00235C98"/>
    <w:rsid w:val="00235EDD"/>
    <w:rsid w:val="00236168"/>
    <w:rsid w:val="002370ED"/>
    <w:rsid w:val="00237500"/>
    <w:rsid w:val="00240352"/>
    <w:rsid w:val="00240A0D"/>
    <w:rsid w:val="00240FD5"/>
    <w:rsid w:val="00243032"/>
    <w:rsid w:val="00243234"/>
    <w:rsid w:val="002435DB"/>
    <w:rsid w:val="0024385E"/>
    <w:rsid w:val="00243BE5"/>
    <w:rsid w:val="00243C7F"/>
    <w:rsid w:val="00244004"/>
    <w:rsid w:val="002440CD"/>
    <w:rsid w:val="00244B44"/>
    <w:rsid w:val="0024553B"/>
    <w:rsid w:val="00245BA8"/>
    <w:rsid w:val="00245C77"/>
    <w:rsid w:val="00245D1D"/>
    <w:rsid w:val="002463FA"/>
    <w:rsid w:val="00246F61"/>
    <w:rsid w:val="0024709E"/>
    <w:rsid w:val="002470C3"/>
    <w:rsid w:val="002472DA"/>
    <w:rsid w:val="002473B0"/>
    <w:rsid w:val="00247B36"/>
    <w:rsid w:val="00247E17"/>
    <w:rsid w:val="00247E94"/>
    <w:rsid w:val="0025029E"/>
    <w:rsid w:val="002504A8"/>
    <w:rsid w:val="00250B64"/>
    <w:rsid w:val="00250C36"/>
    <w:rsid w:val="00250ED8"/>
    <w:rsid w:val="00250F1E"/>
    <w:rsid w:val="00250F30"/>
    <w:rsid w:val="00251575"/>
    <w:rsid w:val="002517B2"/>
    <w:rsid w:val="00251CC0"/>
    <w:rsid w:val="00251F7E"/>
    <w:rsid w:val="0025201A"/>
    <w:rsid w:val="002538E3"/>
    <w:rsid w:val="00253DDF"/>
    <w:rsid w:val="00253E37"/>
    <w:rsid w:val="002541CE"/>
    <w:rsid w:val="0025476F"/>
    <w:rsid w:val="00254978"/>
    <w:rsid w:val="002549F3"/>
    <w:rsid w:val="00254D21"/>
    <w:rsid w:val="00255ED5"/>
    <w:rsid w:val="00256445"/>
    <w:rsid w:val="00256593"/>
    <w:rsid w:val="00256F01"/>
    <w:rsid w:val="00256F36"/>
    <w:rsid w:val="00257067"/>
    <w:rsid w:val="0025755E"/>
    <w:rsid w:val="002577C4"/>
    <w:rsid w:val="00257A09"/>
    <w:rsid w:val="00257DBD"/>
    <w:rsid w:val="0026093D"/>
    <w:rsid w:val="00260C67"/>
    <w:rsid w:val="00260C87"/>
    <w:rsid w:val="00260FB0"/>
    <w:rsid w:val="00261A78"/>
    <w:rsid w:val="00261AF8"/>
    <w:rsid w:val="00262FA6"/>
    <w:rsid w:val="0026327E"/>
    <w:rsid w:val="002636D0"/>
    <w:rsid w:val="00263949"/>
    <w:rsid w:val="002642FE"/>
    <w:rsid w:val="00264785"/>
    <w:rsid w:val="00265713"/>
    <w:rsid w:val="00265768"/>
    <w:rsid w:val="002660BE"/>
    <w:rsid w:val="00266368"/>
    <w:rsid w:val="00266529"/>
    <w:rsid w:val="00266535"/>
    <w:rsid w:val="0026654F"/>
    <w:rsid w:val="00267294"/>
    <w:rsid w:val="00267981"/>
    <w:rsid w:val="00267B58"/>
    <w:rsid w:val="00267F78"/>
    <w:rsid w:val="00270573"/>
    <w:rsid w:val="00271328"/>
    <w:rsid w:val="002714B9"/>
    <w:rsid w:val="00271CD0"/>
    <w:rsid w:val="002723D3"/>
    <w:rsid w:val="002729DE"/>
    <w:rsid w:val="00272C18"/>
    <w:rsid w:val="00272D28"/>
    <w:rsid w:val="002740AC"/>
    <w:rsid w:val="00274ADE"/>
    <w:rsid w:val="002750AF"/>
    <w:rsid w:val="0027534E"/>
    <w:rsid w:val="0027565C"/>
    <w:rsid w:val="00276552"/>
    <w:rsid w:val="00276779"/>
    <w:rsid w:val="002767D4"/>
    <w:rsid w:val="002769CE"/>
    <w:rsid w:val="00276BD1"/>
    <w:rsid w:val="00277BE0"/>
    <w:rsid w:val="00277C6F"/>
    <w:rsid w:val="00280B8B"/>
    <w:rsid w:val="002812D2"/>
    <w:rsid w:val="00281635"/>
    <w:rsid w:val="00281C0D"/>
    <w:rsid w:val="002826F7"/>
    <w:rsid w:val="00282983"/>
    <w:rsid w:val="002829C0"/>
    <w:rsid w:val="00282BAC"/>
    <w:rsid w:val="002833F3"/>
    <w:rsid w:val="00283714"/>
    <w:rsid w:val="002839EA"/>
    <w:rsid w:val="002839ED"/>
    <w:rsid w:val="00283AC5"/>
    <w:rsid w:val="00284E0D"/>
    <w:rsid w:val="002854E1"/>
    <w:rsid w:val="00285B85"/>
    <w:rsid w:val="0028629E"/>
    <w:rsid w:val="002869BB"/>
    <w:rsid w:val="00286E30"/>
    <w:rsid w:val="002878BC"/>
    <w:rsid w:val="00287CBA"/>
    <w:rsid w:val="00287E42"/>
    <w:rsid w:val="00287F62"/>
    <w:rsid w:val="002903B2"/>
    <w:rsid w:val="0029081F"/>
    <w:rsid w:val="00290EC3"/>
    <w:rsid w:val="002912AE"/>
    <w:rsid w:val="00291731"/>
    <w:rsid w:val="00291972"/>
    <w:rsid w:val="00292748"/>
    <w:rsid w:val="002931BB"/>
    <w:rsid w:val="002934DC"/>
    <w:rsid w:val="002938B9"/>
    <w:rsid w:val="00293B70"/>
    <w:rsid w:val="00294570"/>
    <w:rsid w:val="002945AF"/>
    <w:rsid w:val="00294825"/>
    <w:rsid w:val="00294D74"/>
    <w:rsid w:val="00295CE4"/>
    <w:rsid w:val="002964EA"/>
    <w:rsid w:val="00296760"/>
    <w:rsid w:val="0029683E"/>
    <w:rsid w:val="00296A1F"/>
    <w:rsid w:val="00296A54"/>
    <w:rsid w:val="002970A4"/>
    <w:rsid w:val="00297357"/>
    <w:rsid w:val="00297638"/>
    <w:rsid w:val="00297B27"/>
    <w:rsid w:val="002A02AD"/>
    <w:rsid w:val="002A05B2"/>
    <w:rsid w:val="002A0CC8"/>
    <w:rsid w:val="002A127F"/>
    <w:rsid w:val="002A1C37"/>
    <w:rsid w:val="002A2D19"/>
    <w:rsid w:val="002A3272"/>
    <w:rsid w:val="002A3363"/>
    <w:rsid w:val="002A3370"/>
    <w:rsid w:val="002A349D"/>
    <w:rsid w:val="002A350F"/>
    <w:rsid w:val="002A356B"/>
    <w:rsid w:val="002A35B4"/>
    <w:rsid w:val="002A37E5"/>
    <w:rsid w:val="002A3AC9"/>
    <w:rsid w:val="002A4BCD"/>
    <w:rsid w:val="002A5451"/>
    <w:rsid w:val="002A62E3"/>
    <w:rsid w:val="002A63C7"/>
    <w:rsid w:val="002A6861"/>
    <w:rsid w:val="002A70B0"/>
    <w:rsid w:val="002B05B3"/>
    <w:rsid w:val="002B1082"/>
    <w:rsid w:val="002B1827"/>
    <w:rsid w:val="002B1D1C"/>
    <w:rsid w:val="002B21CF"/>
    <w:rsid w:val="002B2670"/>
    <w:rsid w:val="002B2907"/>
    <w:rsid w:val="002B2F99"/>
    <w:rsid w:val="002B3B9E"/>
    <w:rsid w:val="002B430D"/>
    <w:rsid w:val="002B4AE2"/>
    <w:rsid w:val="002B4ED0"/>
    <w:rsid w:val="002B5532"/>
    <w:rsid w:val="002B5B15"/>
    <w:rsid w:val="002B5D50"/>
    <w:rsid w:val="002B5F25"/>
    <w:rsid w:val="002B726F"/>
    <w:rsid w:val="002B7454"/>
    <w:rsid w:val="002B7B1D"/>
    <w:rsid w:val="002C1090"/>
    <w:rsid w:val="002C1553"/>
    <w:rsid w:val="002C181B"/>
    <w:rsid w:val="002C20A1"/>
    <w:rsid w:val="002C257B"/>
    <w:rsid w:val="002C2605"/>
    <w:rsid w:val="002C2781"/>
    <w:rsid w:val="002C28D9"/>
    <w:rsid w:val="002C308B"/>
    <w:rsid w:val="002C38C6"/>
    <w:rsid w:val="002C3C63"/>
    <w:rsid w:val="002C4A98"/>
    <w:rsid w:val="002C5283"/>
    <w:rsid w:val="002C530A"/>
    <w:rsid w:val="002C5411"/>
    <w:rsid w:val="002C60E1"/>
    <w:rsid w:val="002C69FC"/>
    <w:rsid w:val="002C6A69"/>
    <w:rsid w:val="002C6C8A"/>
    <w:rsid w:val="002C7438"/>
    <w:rsid w:val="002C76F1"/>
    <w:rsid w:val="002C785D"/>
    <w:rsid w:val="002D04F2"/>
    <w:rsid w:val="002D1429"/>
    <w:rsid w:val="002D149C"/>
    <w:rsid w:val="002D1C2B"/>
    <w:rsid w:val="002D1D52"/>
    <w:rsid w:val="002D23AA"/>
    <w:rsid w:val="002D2627"/>
    <w:rsid w:val="002D284F"/>
    <w:rsid w:val="002D2B7F"/>
    <w:rsid w:val="002D31BF"/>
    <w:rsid w:val="002D3465"/>
    <w:rsid w:val="002D37D9"/>
    <w:rsid w:val="002D3A4F"/>
    <w:rsid w:val="002D44AE"/>
    <w:rsid w:val="002D4B81"/>
    <w:rsid w:val="002D4D70"/>
    <w:rsid w:val="002D4F64"/>
    <w:rsid w:val="002D4FCB"/>
    <w:rsid w:val="002D58D6"/>
    <w:rsid w:val="002D5A3B"/>
    <w:rsid w:val="002D5D33"/>
    <w:rsid w:val="002D5D86"/>
    <w:rsid w:val="002D6772"/>
    <w:rsid w:val="002D6910"/>
    <w:rsid w:val="002D6BC0"/>
    <w:rsid w:val="002D6C2B"/>
    <w:rsid w:val="002D71D1"/>
    <w:rsid w:val="002D7345"/>
    <w:rsid w:val="002D7EE1"/>
    <w:rsid w:val="002E0261"/>
    <w:rsid w:val="002E06D4"/>
    <w:rsid w:val="002E1245"/>
    <w:rsid w:val="002E1754"/>
    <w:rsid w:val="002E1DEF"/>
    <w:rsid w:val="002E235D"/>
    <w:rsid w:val="002E2B13"/>
    <w:rsid w:val="002E2F40"/>
    <w:rsid w:val="002E35B1"/>
    <w:rsid w:val="002E35DC"/>
    <w:rsid w:val="002E3796"/>
    <w:rsid w:val="002E3AD7"/>
    <w:rsid w:val="002E5482"/>
    <w:rsid w:val="002E54DE"/>
    <w:rsid w:val="002E5F39"/>
    <w:rsid w:val="002E6C63"/>
    <w:rsid w:val="002E6EBD"/>
    <w:rsid w:val="002E6EE7"/>
    <w:rsid w:val="002E76AD"/>
    <w:rsid w:val="002E794D"/>
    <w:rsid w:val="002F01EC"/>
    <w:rsid w:val="002F0428"/>
    <w:rsid w:val="002F094E"/>
    <w:rsid w:val="002F097F"/>
    <w:rsid w:val="002F1D77"/>
    <w:rsid w:val="002F1F2C"/>
    <w:rsid w:val="002F2D96"/>
    <w:rsid w:val="002F371E"/>
    <w:rsid w:val="002F391B"/>
    <w:rsid w:val="002F3C00"/>
    <w:rsid w:val="002F41A6"/>
    <w:rsid w:val="002F4377"/>
    <w:rsid w:val="002F4592"/>
    <w:rsid w:val="002F45D2"/>
    <w:rsid w:val="002F4ACB"/>
    <w:rsid w:val="002F5220"/>
    <w:rsid w:val="002F559E"/>
    <w:rsid w:val="002F6040"/>
    <w:rsid w:val="002F637C"/>
    <w:rsid w:val="002F64B4"/>
    <w:rsid w:val="002F6DA7"/>
    <w:rsid w:val="002F7380"/>
    <w:rsid w:val="002F7A79"/>
    <w:rsid w:val="00300379"/>
    <w:rsid w:val="003003E5"/>
    <w:rsid w:val="00300AF0"/>
    <w:rsid w:val="00301255"/>
    <w:rsid w:val="0030291A"/>
    <w:rsid w:val="00302C0F"/>
    <w:rsid w:val="00302D72"/>
    <w:rsid w:val="003031DB"/>
    <w:rsid w:val="00303786"/>
    <w:rsid w:val="003038C5"/>
    <w:rsid w:val="00303A48"/>
    <w:rsid w:val="00303E65"/>
    <w:rsid w:val="003053A4"/>
    <w:rsid w:val="00305689"/>
    <w:rsid w:val="00305B02"/>
    <w:rsid w:val="00305B27"/>
    <w:rsid w:val="00306373"/>
    <w:rsid w:val="00307506"/>
    <w:rsid w:val="003106E1"/>
    <w:rsid w:val="00310B00"/>
    <w:rsid w:val="00310FC8"/>
    <w:rsid w:val="00311037"/>
    <w:rsid w:val="00312137"/>
    <w:rsid w:val="003126FF"/>
    <w:rsid w:val="00312914"/>
    <w:rsid w:val="00312987"/>
    <w:rsid w:val="00313127"/>
    <w:rsid w:val="003131CB"/>
    <w:rsid w:val="003140A6"/>
    <w:rsid w:val="003140DF"/>
    <w:rsid w:val="00314852"/>
    <w:rsid w:val="00314B36"/>
    <w:rsid w:val="00314E21"/>
    <w:rsid w:val="00314ECA"/>
    <w:rsid w:val="00314F48"/>
    <w:rsid w:val="003152A8"/>
    <w:rsid w:val="00315578"/>
    <w:rsid w:val="00315730"/>
    <w:rsid w:val="0031599A"/>
    <w:rsid w:val="00315F11"/>
    <w:rsid w:val="00316055"/>
    <w:rsid w:val="00316784"/>
    <w:rsid w:val="00316869"/>
    <w:rsid w:val="00316906"/>
    <w:rsid w:val="00316D9E"/>
    <w:rsid w:val="00317808"/>
    <w:rsid w:val="0032050C"/>
    <w:rsid w:val="003205B1"/>
    <w:rsid w:val="00320891"/>
    <w:rsid w:val="00320C30"/>
    <w:rsid w:val="00321801"/>
    <w:rsid w:val="003218DF"/>
    <w:rsid w:val="00321B26"/>
    <w:rsid w:val="00321BE6"/>
    <w:rsid w:val="00322862"/>
    <w:rsid w:val="00322AAF"/>
    <w:rsid w:val="00322D42"/>
    <w:rsid w:val="003231D9"/>
    <w:rsid w:val="00323431"/>
    <w:rsid w:val="00325091"/>
    <w:rsid w:val="0032559D"/>
    <w:rsid w:val="0032568F"/>
    <w:rsid w:val="00325E2E"/>
    <w:rsid w:val="00327573"/>
    <w:rsid w:val="003275C1"/>
    <w:rsid w:val="00327A2D"/>
    <w:rsid w:val="00327D56"/>
    <w:rsid w:val="00330447"/>
    <w:rsid w:val="00330957"/>
    <w:rsid w:val="00330E92"/>
    <w:rsid w:val="003310DF"/>
    <w:rsid w:val="003317C5"/>
    <w:rsid w:val="0033208B"/>
    <w:rsid w:val="00332204"/>
    <w:rsid w:val="0033247A"/>
    <w:rsid w:val="00333031"/>
    <w:rsid w:val="00333C5C"/>
    <w:rsid w:val="00333C80"/>
    <w:rsid w:val="00333DC4"/>
    <w:rsid w:val="0033400C"/>
    <w:rsid w:val="00334466"/>
    <w:rsid w:val="003345F0"/>
    <w:rsid w:val="00335131"/>
    <w:rsid w:val="00335E13"/>
    <w:rsid w:val="00335FCB"/>
    <w:rsid w:val="00335FD8"/>
    <w:rsid w:val="00337D0F"/>
    <w:rsid w:val="00337E5A"/>
    <w:rsid w:val="003403E6"/>
    <w:rsid w:val="00340588"/>
    <w:rsid w:val="00340A33"/>
    <w:rsid w:val="00340A6A"/>
    <w:rsid w:val="00340D43"/>
    <w:rsid w:val="00340EB1"/>
    <w:rsid w:val="003413BF"/>
    <w:rsid w:val="003417C6"/>
    <w:rsid w:val="00342438"/>
    <w:rsid w:val="00342626"/>
    <w:rsid w:val="00342B6B"/>
    <w:rsid w:val="00343000"/>
    <w:rsid w:val="00343161"/>
    <w:rsid w:val="00343706"/>
    <w:rsid w:val="003438BD"/>
    <w:rsid w:val="00343C30"/>
    <w:rsid w:val="00344060"/>
    <w:rsid w:val="003445DE"/>
    <w:rsid w:val="00344866"/>
    <w:rsid w:val="00345206"/>
    <w:rsid w:val="0034537D"/>
    <w:rsid w:val="003455F4"/>
    <w:rsid w:val="00346ED3"/>
    <w:rsid w:val="00347337"/>
    <w:rsid w:val="00347626"/>
    <w:rsid w:val="00347997"/>
    <w:rsid w:val="00347E0C"/>
    <w:rsid w:val="003504A9"/>
    <w:rsid w:val="00350B12"/>
    <w:rsid w:val="00351130"/>
    <w:rsid w:val="003517AC"/>
    <w:rsid w:val="0035184E"/>
    <w:rsid w:val="00351ABF"/>
    <w:rsid w:val="00351B9A"/>
    <w:rsid w:val="00351F3B"/>
    <w:rsid w:val="00352816"/>
    <w:rsid w:val="00352FF4"/>
    <w:rsid w:val="003530E9"/>
    <w:rsid w:val="003532A3"/>
    <w:rsid w:val="003537E1"/>
    <w:rsid w:val="00353807"/>
    <w:rsid w:val="003539A6"/>
    <w:rsid w:val="003539C0"/>
    <w:rsid w:val="00353A18"/>
    <w:rsid w:val="00353AF0"/>
    <w:rsid w:val="00353B85"/>
    <w:rsid w:val="003541F4"/>
    <w:rsid w:val="003544EA"/>
    <w:rsid w:val="0035462D"/>
    <w:rsid w:val="00354A0E"/>
    <w:rsid w:val="003551B5"/>
    <w:rsid w:val="0035582D"/>
    <w:rsid w:val="003558F1"/>
    <w:rsid w:val="00355F92"/>
    <w:rsid w:val="0035636F"/>
    <w:rsid w:val="00356705"/>
    <w:rsid w:val="00356879"/>
    <w:rsid w:val="0035717A"/>
    <w:rsid w:val="003574D9"/>
    <w:rsid w:val="00357AB6"/>
    <w:rsid w:val="003604F8"/>
    <w:rsid w:val="003608B3"/>
    <w:rsid w:val="00360A39"/>
    <w:rsid w:val="00360D14"/>
    <w:rsid w:val="00360DA8"/>
    <w:rsid w:val="003615A6"/>
    <w:rsid w:val="00362C7C"/>
    <w:rsid w:val="003631F4"/>
    <w:rsid w:val="003633FB"/>
    <w:rsid w:val="00363848"/>
    <w:rsid w:val="003646D0"/>
    <w:rsid w:val="00364772"/>
    <w:rsid w:val="003648CA"/>
    <w:rsid w:val="00364BA0"/>
    <w:rsid w:val="00365018"/>
    <w:rsid w:val="00365571"/>
    <w:rsid w:val="003658B2"/>
    <w:rsid w:val="00365DE3"/>
    <w:rsid w:val="003661B9"/>
    <w:rsid w:val="00366440"/>
    <w:rsid w:val="0036783E"/>
    <w:rsid w:val="00367AC9"/>
    <w:rsid w:val="00370165"/>
    <w:rsid w:val="003701F7"/>
    <w:rsid w:val="00370DBB"/>
    <w:rsid w:val="00370DF5"/>
    <w:rsid w:val="00370E0A"/>
    <w:rsid w:val="003717C4"/>
    <w:rsid w:val="003718E4"/>
    <w:rsid w:val="00371DCA"/>
    <w:rsid w:val="00371E5B"/>
    <w:rsid w:val="0037214C"/>
    <w:rsid w:val="00372848"/>
    <w:rsid w:val="00373CF6"/>
    <w:rsid w:val="00373D1C"/>
    <w:rsid w:val="00373E63"/>
    <w:rsid w:val="003742A2"/>
    <w:rsid w:val="00374936"/>
    <w:rsid w:val="00374E57"/>
    <w:rsid w:val="00375045"/>
    <w:rsid w:val="0037527C"/>
    <w:rsid w:val="003756EF"/>
    <w:rsid w:val="00375ACA"/>
    <w:rsid w:val="003761EA"/>
    <w:rsid w:val="0037630B"/>
    <w:rsid w:val="00376884"/>
    <w:rsid w:val="003774F9"/>
    <w:rsid w:val="003778AF"/>
    <w:rsid w:val="00377EFD"/>
    <w:rsid w:val="00377F0C"/>
    <w:rsid w:val="0038018E"/>
    <w:rsid w:val="003808CE"/>
    <w:rsid w:val="00381045"/>
    <w:rsid w:val="00381CFD"/>
    <w:rsid w:val="00381D27"/>
    <w:rsid w:val="00381DA3"/>
    <w:rsid w:val="00381F9F"/>
    <w:rsid w:val="00382988"/>
    <w:rsid w:val="00382B69"/>
    <w:rsid w:val="00384CBF"/>
    <w:rsid w:val="00385114"/>
    <w:rsid w:val="00385129"/>
    <w:rsid w:val="00385150"/>
    <w:rsid w:val="003853BF"/>
    <w:rsid w:val="00385B5A"/>
    <w:rsid w:val="00385E48"/>
    <w:rsid w:val="00385E8D"/>
    <w:rsid w:val="0038633B"/>
    <w:rsid w:val="003869D8"/>
    <w:rsid w:val="00386C5C"/>
    <w:rsid w:val="00387027"/>
    <w:rsid w:val="00387029"/>
    <w:rsid w:val="00387361"/>
    <w:rsid w:val="00387CC7"/>
    <w:rsid w:val="003902D6"/>
    <w:rsid w:val="00390886"/>
    <w:rsid w:val="00391878"/>
    <w:rsid w:val="00391F64"/>
    <w:rsid w:val="0039219E"/>
    <w:rsid w:val="00392316"/>
    <w:rsid w:val="00392744"/>
    <w:rsid w:val="00392911"/>
    <w:rsid w:val="00393354"/>
    <w:rsid w:val="00393433"/>
    <w:rsid w:val="00393B07"/>
    <w:rsid w:val="00393BED"/>
    <w:rsid w:val="0039438A"/>
    <w:rsid w:val="0039459D"/>
    <w:rsid w:val="00394A6C"/>
    <w:rsid w:val="00395112"/>
    <w:rsid w:val="00395117"/>
    <w:rsid w:val="0039553B"/>
    <w:rsid w:val="00395657"/>
    <w:rsid w:val="00395B31"/>
    <w:rsid w:val="00395F61"/>
    <w:rsid w:val="0039615A"/>
    <w:rsid w:val="00396ACB"/>
    <w:rsid w:val="00396B69"/>
    <w:rsid w:val="00396B7A"/>
    <w:rsid w:val="0039732B"/>
    <w:rsid w:val="003A028F"/>
    <w:rsid w:val="003A06EF"/>
    <w:rsid w:val="003A0EDE"/>
    <w:rsid w:val="003A11F3"/>
    <w:rsid w:val="003A2434"/>
    <w:rsid w:val="003A2438"/>
    <w:rsid w:val="003A2DB7"/>
    <w:rsid w:val="003A312B"/>
    <w:rsid w:val="003A3513"/>
    <w:rsid w:val="003A357A"/>
    <w:rsid w:val="003A364F"/>
    <w:rsid w:val="003A39AD"/>
    <w:rsid w:val="003A3F36"/>
    <w:rsid w:val="003A4250"/>
    <w:rsid w:val="003A433F"/>
    <w:rsid w:val="003A43F3"/>
    <w:rsid w:val="003A4490"/>
    <w:rsid w:val="003A46BA"/>
    <w:rsid w:val="003A4BA6"/>
    <w:rsid w:val="003A4FAD"/>
    <w:rsid w:val="003A56A7"/>
    <w:rsid w:val="003A5E9C"/>
    <w:rsid w:val="003A608C"/>
    <w:rsid w:val="003A6277"/>
    <w:rsid w:val="003A7689"/>
    <w:rsid w:val="003B0240"/>
    <w:rsid w:val="003B0841"/>
    <w:rsid w:val="003B118F"/>
    <w:rsid w:val="003B137E"/>
    <w:rsid w:val="003B1401"/>
    <w:rsid w:val="003B168B"/>
    <w:rsid w:val="003B1988"/>
    <w:rsid w:val="003B1D7E"/>
    <w:rsid w:val="003B1FFA"/>
    <w:rsid w:val="003B27B3"/>
    <w:rsid w:val="003B2DDF"/>
    <w:rsid w:val="003B32C1"/>
    <w:rsid w:val="003B34D3"/>
    <w:rsid w:val="003B4DA8"/>
    <w:rsid w:val="003B4E3E"/>
    <w:rsid w:val="003B511F"/>
    <w:rsid w:val="003B5EE6"/>
    <w:rsid w:val="003B6247"/>
    <w:rsid w:val="003B6608"/>
    <w:rsid w:val="003B697E"/>
    <w:rsid w:val="003B6B91"/>
    <w:rsid w:val="003B6EA8"/>
    <w:rsid w:val="003B72C3"/>
    <w:rsid w:val="003B760E"/>
    <w:rsid w:val="003B7CA3"/>
    <w:rsid w:val="003B7D65"/>
    <w:rsid w:val="003B7E0D"/>
    <w:rsid w:val="003B7EF3"/>
    <w:rsid w:val="003C1864"/>
    <w:rsid w:val="003C188A"/>
    <w:rsid w:val="003C1983"/>
    <w:rsid w:val="003C1E49"/>
    <w:rsid w:val="003C2401"/>
    <w:rsid w:val="003C27C2"/>
    <w:rsid w:val="003C3734"/>
    <w:rsid w:val="003C5099"/>
    <w:rsid w:val="003C50A9"/>
    <w:rsid w:val="003C50EB"/>
    <w:rsid w:val="003C5743"/>
    <w:rsid w:val="003C5E74"/>
    <w:rsid w:val="003C6205"/>
    <w:rsid w:val="003C679E"/>
    <w:rsid w:val="003C68D1"/>
    <w:rsid w:val="003C7409"/>
    <w:rsid w:val="003D069B"/>
    <w:rsid w:val="003D0860"/>
    <w:rsid w:val="003D096E"/>
    <w:rsid w:val="003D1384"/>
    <w:rsid w:val="003D219F"/>
    <w:rsid w:val="003D2333"/>
    <w:rsid w:val="003D25F1"/>
    <w:rsid w:val="003D274F"/>
    <w:rsid w:val="003D28AC"/>
    <w:rsid w:val="003D3916"/>
    <w:rsid w:val="003D3D0B"/>
    <w:rsid w:val="003D3E04"/>
    <w:rsid w:val="003D3EFC"/>
    <w:rsid w:val="003D4257"/>
    <w:rsid w:val="003D456A"/>
    <w:rsid w:val="003D4ACF"/>
    <w:rsid w:val="003D4B37"/>
    <w:rsid w:val="003D54E4"/>
    <w:rsid w:val="003D5FEE"/>
    <w:rsid w:val="003D62FF"/>
    <w:rsid w:val="003D67CA"/>
    <w:rsid w:val="003D6D6B"/>
    <w:rsid w:val="003D7605"/>
    <w:rsid w:val="003D775F"/>
    <w:rsid w:val="003D7B06"/>
    <w:rsid w:val="003D7F65"/>
    <w:rsid w:val="003E07D4"/>
    <w:rsid w:val="003E0A49"/>
    <w:rsid w:val="003E0EFA"/>
    <w:rsid w:val="003E12E9"/>
    <w:rsid w:val="003E2BAE"/>
    <w:rsid w:val="003E2C2A"/>
    <w:rsid w:val="003E2C35"/>
    <w:rsid w:val="003E2DBF"/>
    <w:rsid w:val="003E33D3"/>
    <w:rsid w:val="003E3A14"/>
    <w:rsid w:val="003E3B28"/>
    <w:rsid w:val="003E3B5E"/>
    <w:rsid w:val="003E4B34"/>
    <w:rsid w:val="003E4FBA"/>
    <w:rsid w:val="003E5E29"/>
    <w:rsid w:val="003E6696"/>
    <w:rsid w:val="003E6DAA"/>
    <w:rsid w:val="003E743E"/>
    <w:rsid w:val="003E7467"/>
    <w:rsid w:val="003E7508"/>
    <w:rsid w:val="003E7AA7"/>
    <w:rsid w:val="003E7E4A"/>
    <w:rsid w:val="003F0A63"/>
    <w:rsid w:val="003F10FA"/>
    <w:rsid w:val="003F16BF"/>
    <w:rsid w:val="003F17EF"/>
    <w:rsid w:val="003F1C3F"/>
    <w:rsid w:val="003F2570"/>
    <w:rsid w:val="003F2734"/>
    <w:rsid w:val="003F2ABF"/>
    <w:rsid w:val="003F30FA"/>
    <w:rsid w:val="003F31FA"/>
    <w:rsid w:val="003F3609"/>
    <w:rsid w:val="003F3687"/>
    <w:rsid w:val="003F3721"/>
    <w:rsid w:val="003F3761"/>
    <w:rsid w:val="003F3F43"/>
    <w:rsid w:val="003F45C4"/>
    <w:rsid w:val="003F4BF6"/>
    <w:rsid w:val="003F4F52"/>
    <w:rsid w:val="003F4F5D"/>
    <w:rsid w:val="003F5C43"/>
    <w:rsid w:val="003F5ECB"/>
    <w:rsid w:val="003F66A6"/>
    <w:rsid w:val="003F69B3"/>
    <w:rsid w:val="0040008C"/>
    <w:rsid w:val="0040034F"/>
    <w:rsid w:val="0040069A"/>
    <w:rsid w:val="00400936"/>
    <w:rsid w:val="00400BE3"/>
    <w:rsid w:val="00401259"/>
    <w:rsid w:val="0040199B"/>
    <w:rsid w:val="00401C83"/>
    <w:rsid w:val="00401D53"/>
    <w:rsid w:val="0040225F"/>
    <w:rsid w:val="004023EB"/>
    <w:rsid w:val="00402CF0"/>
    <w:rsid w:val="00402E9D"/>
    <w:rsid w:val="004030E6"/>
    <w:rsid w:val="00403201"/>
    <w:rsid w:val="00403410"/>
    <w:rsid w:val="00403698"/>
    <w:rsid w:val="0040375B"/>
    <w:rsid w:val="00403E55"/>
    <w:rsid w:val="00404020"/>
    <w:rsid w:val="00404884"/>
    <w:rsid w:val="00404B41"/>
    <w:rsid w:val="00405385"/>
    <w:rsid w:val="004056C4"/>
    <w:rsid w:val="004068E4"/>
    <w:rsid w:val="00406AD3"/>
    <w:rsid w:val="00407258"/>
    <w:rsid w:val="004072D6"/>
    <w:rsid w:val="0040799E"/>
    <w:rsid w:val="004103C7"/>
    <w:rsid w:val="00410505"/>
    <w:rsid w:val="00410CD8"/>
    <w:rsid w:val="0041128C"/>
    <w:rsid w:val="004114C6"/>
    <w:rsid w:val="00411E2D"/>
    <w:rsid w:val="0041218A"/>
    <w:rsid w:val="004127BD"/>
    <w:rsid w:val="00412FEE"/>
    <w:rsid w:val="00413512"/>
    <w:rsid w:val="0041377B"/>
    <w:rsid w:val="00413946"/>
    <w:rsid w:val="00413E30"/>
    <w:rsid w:val="004141A1"/>
    <w:rsid w:val="00415E70"/>
    <w:rsid w:val="004160B6"/>
    <w:rsid w:val="0041694E"/>
    <w:rsid w:val="0041738A"/>
    <w:rsid w:val="00417721"/>
    <w:rsid w:val="00417B7A"/>
    <w:rsid w:val="00417C3F"/>
    <w:rsid w:val="00417E3A"/>
    <w:rsid w:val="004200C5"/>
    <w:rsid w:val="0042133F"/>
    <w:rsid w:val="0042161B"/>
    <w:rsid w:val="004216B1"/>
    <w:rsid w:val="00421C1E"/>
    <w:rsid w:val="00421EC7"/>
    <w:rsid w:val="00422100"/>
    <w:rsid w:val="004226FB"/>
    <w:rsid w:val="004228F4"/>
    <w:rsid w:val="00422B77"/>
    <w:rsid w:val="00423690"/>
    <w:rsid w:val="00423D01"/>
    <w:rsid w:val="00423F8C"/>
    <w:rsid w:val="0042428F"/>
    <w:rsid w:val="004245D7"/>
    <w:rsid w:val="004246F9"/>
    <w:rsid w:val="004250B6"/>
    <w:rsid w:val="00425428"/>
    <w:rsid w:val="00425577"/>
    <w:rsid w:val="004258DD"/>
    <w:rsid w:val="00425D76"/>
    <w:rsid w:val="0042637A"/>
    <w:rsid w:val="004273CB"/>
    <w:rsid w:val="00427714"/>
    <w:rsid w:val="00427C46"/>
    <w:rsid w:val="00427E3A"/>
    <w:rsid w:val="00430DFA"/>
    <w:rsid w:val="00430F0F"/>
    <w:rsid w:val="0043110B"/>
    <w:rsid w:val="004311D6"/>
    <w:rsid w:val="00431DC3"/>
    <w:rsid w:val="00431F1D"/>
    <w:rsid w:val="00432BC8"/>
    <w:rsid w:val="00433011"/>
    <w:rsid w:val="0043330C"/>
    <w:rsid w:val="00433728"/>
    <w:rsid w:val="004339E2"/>
    <w:rsid w:val="00433D14"/>
    <w:rsid w:val="0043481F"/>
    <w:rsid w:val="00434C17"/>
    <w:rsid w:val="00435397"/>
    <w:rsid w:val="00435D86"/>
    <w:rsid w:val="00435EC9"/>
    <w:rsid w:val="00436009"/>
    <w:rsid w:val="004360F6"/>
    <w:rsid w:val="0043613F"/>
    <w:rsid w:val="004364A8"/>
    <w:rsid w:val="00436D2D"/>
    <w:rsid w:val="00437207"/>
    <w:rsid w:val="004372E1"/>
    <w:rsid w:val="004378CB"/>
    <w:rsid w:val="00437B89"/>
    <w:rsid w:val="00437C31"/>
    <w:rsid w:val="004401F9"/>
    <w:rsid w:val="004403B4"/>
    <w:rsid w:val="00441D31"/>
    <w:rsid w:val="00441E88"/>
    <w:rsid w:val="00442258"/>
    <w:rsid w:val="00442D8A"/>
    <w:rsid w:val="00442F02"/>
    <w:rsid w:val="00442F76"/>
    <w:rsid w:val="0044324F"/>
    <w:rsid w:val="00443546"/>
    <w:rsid w:val="0044393B"/>
    <w:rsid w:val="00443AE7"/>
    <w:rsid w:val="00443D29"/>
    <w:rsid w:val="004452B6"/>
    <w:rsid w:val="00445660"/>
    <w:rsid w:val="004464A9"/>
    <w:rsid w:val="0044666E"/>
    <w:rsid w:val="0044677B"/>
    <w:rsid w:val="0044689D"/>
    <w:rsid w:val="00446FB2"/>
    <w:rsid w:val="0044719D"/>
    <w:rsid w:val="00447B7A"/>
    <w:rsid w:val="004500AD"/>
    <w:rsid w:val="00450569"/>
    <w:rsid w:val="00451955"/>
    <w:rsid w:val="00452187"/>
    <w:rsid w:val="0045250A"/>
    <w:rsid w:val="00452F37"/>
    <w:rsid w:val="004531C7"/>
    <w:rsid w:val="004535B7"/>
    <w:rsid w:val="004537D2"/>
    <w:rsid w:val="00453A7C"/>
    <w:rsid w:val="00453EDE"/>
    <w:rsid w:val="004541FE"/>
    <w:rsid w:val="004544E9"/>
    <w:rsid w:val="0045464E"/>
    <w:rsid w:val="004547DE"/>
    <w:rsid w:val="00454BD9"/>
    <w:rsid w:val="00454C6A"/>
    <w:rsid w:val="0045517E"/>
    <w:rsid w:val="00455760"/>
    <w:rsid w:val="0045615D"/>
    <w:rsid w:val="00456697"/>
    <w:rsid w:val="00456AD0"/>
    <w:rsid w:val="004573CF"/>
    <w:rsid w:val="00457674"/>
    <w:rsid w:val="004576FE"/>
    <w:rsid w:val="0046011C"/>
    <w:rsid w:val="00460759"/>
    <w:rsid w:val="00460E59"/>
    <w:rsid w:val="004612F8"/>
    <w:rsid w:val="00461847"/>
    <w:rsid w:val="0046188C"/>
    <w:rsid w:val="00462099"/>
    <w:rsid w:val="00462195"/>
    <w:rsid w:val="0046262D"/>
    <w:rsid w:val="004627B2"/>
    <w:rsid w:val="00462D21"/>
    <w:rsid w:val="00463178"/>
    <w:rsid w:val="0046374A"/>
    <w:rsid w:val="00463AF6"/>
    <w:rsid w:val="00463C35"/>
    <w:rsid w:val="0046405F"/>
    <w:rsid w:val="004641DA"/>
    <w:rsid w:val="00464B6D"/>
    <w:rsid w:val="00464C74"/>
    <w:rsid w:val="00465713"/>
    <w:rsid w:val="00465FCC"/>
    <w:rsid w:val="00466626"/>
    <w:rsid w:val="00467114"/>
    <w:rsid w:val="00467253"/>
    <w:rsid w:val="00467813"/>
    <w:rsid w:val="00467ABA"/>
    <w:rsid w:val="00467E1F"/>
    <w:rsid w:val="00470679"/>
    <w:rsid w:val="00470EA8"/>
    <w:rsid w:val="004710EB"/>
    <w:rsid w:val="004714C0"/>
    <w:rsid w:val="00471B7B"/>
    <w:rsid w:val="00472D2A"/>
    <w:rsid w:val="00472D70"/>
    <w:rsid w:val="00473A1C"/>
    <w:rsid w:val="0047402F"/>
    <w:rsid w:val="0047451F"/>
    <w:rsid w:val="004746BC"/>
    <w:rsid w:val="00474894"/>
    <w:rsid w:val="00474D45"/>
    <w:rsid w:val="00475A89"/>
    <w:rsid w:val="00475AA0"/>
    <w:rsid w:val="00475B7C"/>
    <w:rsid w:val="00475F00"/>
    <w:rsid w:val="0047629D"/>
    <w:rsid w:val="004764A2"/>
    <w:rsid w:val="00476C6F"/>
    <w:rsid w:val="00476EAB"/>
    <w:rsid w:val="004770D1"/>
    <w:rsid w:val="00477B86"/>
    <w:rsid w:val="00477C6F"/>
    <w:rsid w:val="0048013C"/>
    <w:rsid w:val="00480313"/>
    <w:rsid w:val="0048070B"/>
    <w:rsid w:val="00480845"/>
    <w:rsid w:val="00480A50"/>
    <w:rsid w:val="004812A4"/>
    <w:rsid w:val="004815F5"/>
    <w:rsid w:val="00481B7E"/>
    <w:rsid w:val="0048244E"/>
    <w:rsid w:val="0048352E"/>
    <w:rsid w:val="00483A2E"/>
    <w:rsid w:val="00483F1E"/>
    <w:rsid w:val="004842B0"/>
    <w:rsid w:val="004846A6"/>
    <w:rsid w:val="004851C1"/>
    <w:rsid w:val="00485674"/>
    <w:rsid w:val="00485AB3"/>
    <w:rsid w:val="00485B24"/>
    <w:rsid w:val="00485DBC"/>
    <w:rsid w:val="0048677E"/>
    <w:rsid w:val="004868C9"/>
    <w:rsid w:val="00486B94"/>
    <w:rsid w:val="00486CE3"/>
    <w:rsid w:val="00487A64"/>
    <w:rsid w:val="00487F14"/>
    <w:rsid w:val="00490182"/>
    <w:rsid w:val="004902F4"/>
    <w:rsid w:val="0049087C"/>
    <w:rsid w:val="00490B3A"/>
    <w:rsid w:val="00491217"/>
    <w:rsid w:val="004918F0"/>
    <w:rsid w:val="00491968"/>
    <w:rsid w:val="00491970"/>
    <w:rsid w:val="00491A3D"/>
    <w:rsid w:val="00491D2E"/>
    <w:rsid w:val="00491D3D"/>
    <w:rsid w:val="00491F36"/>
    <w:rsid w:val="00492A15"/>
    <w:rsid w:val="004932EB"/>
    <w:rsid w:val="00493376"/>
    <w:rsid w:val="004938F4"/>
    <w:rsid w:val="00494196"/>
    <w:rsid w:val="0049426C"/>
    <w:rsid w:val="00494395"/>
    <w:rsid w:val="004943F4"/>
    <w:rsid w:val="0049444D"/>
    <w:rsid w:val="004947BE"/>
    <w:rsid w:val="0049493E"/>
    <w:rsid w:val="00494A1A"/>
    <w:rsid w:val="00494B9C"/>
    <w:rsid w:val="00494BFF"/>
    <w:rsid w:val="00495647"/>
    <w:rsid w:val="004956AF"/>
    <w:rsid w:val="00495BB2"/>
    <w:rsid w:val="00495C6E"/>
    <w:rsid w:val="00495C82"/>
    <w:rsid w:val="00495DFD"/>
    <w:rsid w:val="00496289"/>
    <w:rsid w:val="0049628E"/>
    <w:rsid w:val="004962BE"/>
    <w:rsid w:val="004965C4"/>
    <w:rsid w:val="00496961"/>
    <w:rsid w:val="00496BF1"/>
    <w:rsid w:val="00496E91"/>
    <w:rsid w:val="00496FAD"/>
    <w:rsid w:val="00497505"/>
    <w:rsid w:val="00497BE7"/>
    <w:rsid w:val="004A0549"/>
    <w:rsid w:val="004A12A0"/>
    <w:rsid w:val="004A12C2"/>
    <w:rsid w:val="004A1EB3"/>
    <w:rsid w:val="004A22B1"/>
    <w:rsid w:val="004A3053"/>
    <w:rsid w:val="004A319A"/>
    <w:rsid w:val="004A3659"/>
    <w:rsid w:val="004A3664"/>
    <w:rsid w:val="004A3918"/>
    <w:rsid w:val="004A41A3"/>
    <w:rsid w:val="004A4631"/>
    <w:rsid w:val="004A4951"/>
    <w:rsid w:val="004A53D8"/>
    <w:rsid w:val="004A5661"/>
    <w:rsid w:val="004A5D45"/>
    <w:rsid w:val="004A645D"/>
    <w:rsid w:val="004A6B63"/>
    <w:rsid w:val="004A788D"/>
    <w:rsid w:val="004A7A99"/>
    <w:rsid w:val="004B00E5"/>
    <w:rsid w:val="004B06F3"/>
    <w:rsid w:val="004B0893"/>
    <w:rsid w:val="004B0DDE"/>
    <w:rsid w:val="004B1937"/>
    <w:rsid w:val="004B1973"/>
    <w:rsid w:val="004B1993"/>
    <w:rsid w:val="004B2055"/>
    <w:rsid w:val="004B2147"/>
    <w:rsid w:val="004B338B"/>
    <w:rsid w:val="004B373C"/>
    <w:rsid w:val="004B3B1D"/>
    <w:rsid w:val="004B4124"/>
    <w:rsid w:val="004B4211"/>
    <w:rsid w:val="004B4373"/>
    <w:rsid w:val="004B43B5"/>
    <w:rsid w:val="004B43E4"/>
    <w:rsid w:val="004B46A7"/>
    <w:rsid w:val="004B52B9"/>
    <w:rsid w:val="004B5B37"/>
    <w:rsid w:val="004B5DD2"/>
    <w:rsid w:val="004B5E09"/>
    <w:rsid w:val="004B5EE1"/>
    <w:rsid w:val="004B5FDE"/>
    <w:rsid w:val="004B60F2"/>
    <w:rsid w:val="004B62C6"/>
    <w:rsid w:val="004C00BA"/>
    <w:rsid w:val="004C15CE"/>
    <w:rsid w:val="004C1847"/>
    <w:rsid w:val="004C1B85"/>
    <w:rsid w:val="004C1DE5"/>
    <w:rsid w:val="004C1EB7"/>
    <w:rsid w:val="004C245F"/>
    <w:rsid w:val="004C2A56"/>
    <w:rsid w:val="004C2CAC"/>
    <w:rsid w:val="004C2D6F"/>
    <w:rsid w:val="004C341B"/>
    <w:rsid w:val="004C35AD"/>
    <w:rsid w:val="004C36B9"/>
    <w:rsid w:val="004C37DD"/>
    <w:rsid w:val="004C411C"/>
    <w:rsid w:val="004C442F"/>
    <w:rsid w:val="004C455A"/>
    <w:rsid w:val="004C4989"/>
    <w:rsid w:val="004C52C5"/>
    <w:rsid w:val="004C574A"/>
    <w:rsid w:val="004C5E69"/>
    <w:rsid w:val="004C6014"/>
    <w:rsid w:val="004C6253"/>
    <w:rsid w:val="004C65C8"/>
    <w:rsid w:val="004C660E"/>
    <w:rsid w:val="004C67E8"/>
    <w:rsid w:val="004C6874"/>
    <w:rsid w:val="004C69B5"/>
    <w:rsid w:val="004C6B99"/>
    <w:rsid w:val="004C732F"/>
    <w:rsid w:val="004C7459"/>
    <w:rsid w:val="004C7C66"/>
    <w:rsid w:val="004D05B9"/>
    <w:rsid w:val="004D06C8"/>
    <w:rsid w:val="004D0D6A"/>
    <w:rsid w:val="004D0D6E"/>
    <w:rsid w:val="004D11C0"/>
    <w:rsid w:val="004D14B4"/>
    <w:rsid w:val="004D1C1C"/>
    <w:rsid w:val="004D1E0B"/>
    <w:rsid w:val="004D1EF5"/>
    <w:rsid w:val="004D26DF"/>
    <w:rsid w:val="004D278F"/>
    <w:rsid w:val="004D2DC4"/>
    <w:rsid w:val="004D3E1A"/>
    <w:rsid w:val="004D3F61"/>
    <w:rsid w:val="004D45B0"/>
    <w:rsid w:val="004D4973"/>
    <w:rsid w:val="004D49FE"/>
    <w:rsid w:val="004D511B"/>
    <w:rsid w:val="004D5850"/>
    <w:rsid w:val="004D58DD"/>
    <w:rsid w:val="004D5B21"/>
    <w:rsid w:val="004D5FD9"/>
    <w:rsid w:val="004D6F38"/>
    <w:rsid w:val="004D6FB2"/>
    <w:rsid w:val="004D7543"/>
    <w:rsid w:val="004D7B1C"/>
    <w:rsid w:val="004E1B62"/>
    <w:rsid w:val="004E1DC2"/>
    <w:rsid w:val="004E20DB"/>
    <w:rsid w:val="004E2AF1"/>
    <w:rsid w:val="004E2E38"/>
    <w:rsid w:val="004E3261"/>
    <w:rsid w:val="004E3868"/>
    <w:rsid w:val="004E3917"/>
    <w:rsid w:val="004E41FB"/>
    <w:rsid w:val="004E4760"/>
    <w:rsid w:val="004E4D27"/>
    <w:rsid w:val="004E51E9"/>
    <w:rsid w:val="004E529B"/>
    <w:rsid w:val="004E559F"/>
    <w:rsid w:val="004E5A23"/>
    <w:rsid w:val="004E5B73"/>
    <w:rsid w:val="004E5E97"/>
    <w:rsid w:val="004E60A2"/>
    <w:rsid w:val="004E6506"/>
    <w:rsid w:val="004E70BC"/>
    <w:rsid w:val="004E7268"/>
    <w:rsid w:val="004E7849"/>
    <w:rsid w:val="004F1374"/>
    <w:rsid w:val="004F13D9"/>
    <w:rsid w:val="004F2282"/>
    <w:rsid w:val="004F2E97"/>
    <w:rsid w:val="004F3239"/>
    <w:rsid w:val="004F34A1"/>
    <w:rsid w:val="004F389D"/>
    <w:rsid w:val="004F4695"/>
    <w:rsid w:val="004F4806"/>
    <w:rsid w:val="004F4C21"/>
    <w:rsid w:val="004F4C5B"/>
    <w:rsid w:val="004F4F9D"/>
    <w:rsid w:val="004F5A23"/>
    <w:rsid w:val="004F61F2"/>
    <w:rsid w:val="004F655E"/>
    <w:rsid w:val="004F6C27"/>
    <w:rsid w:val="004F749A"/>
    <w:rsid w:val="004F7995"/>
    <w:rsid w:val="004F7BA3"/>
    <w:rsid w:val="004F7F59"/>
    <w:rsid w:val="0050014A"/>
    <w:rsid w:val="00501525"/>
    <w:rsid w:val="005015BD"/>
    <w:rsid w:val="00501679"/>
    <w:rsid w:val="005017A7"/>
    <w:rsid w:val="005019CE"/>
    <w:rsid w:val="00501ED1"/>
    <w:rsid w:val="00501FC4"/>
    <w:rsid w:val="0050212C"/>
    <w:rsid w:val="005023E7"/>
    <w:rsid w:val="00502CDA"/>
    <w:rsid w:val="00502E89"/>
    <w:rsid w:val="00502F33"/>
    <w:rsid w:val="00503C72"/>
    <w:rsid w:val="00503F26"/>
    <w:rsid w:val="00504BE3"/>
    <w:rsid w:val="005052CE"/>
    <w:rsid w:val="00505835"/>
    <w:rsid w:val="00505C84"/>
    <w:rsid w:val="00506996"/>
    <w:rsid w:val="005074F6"/>
    <w:rsid w:val="00507826"/>
    <w:rsid w:val="00507DDE"/>
    <w:rsid w:val="00507E40"/>
    <w:rsid w:val="00507F8E"/>
    <w:rsid w:val="00510C85"/>
    <w:rsid w:val="00510E13"/>
    <w:rsid w:val="00511295"/>
    <w:rsid w:val="005113BF"/>
    <w:rsid w:val="00511635"/>
    <w:rsid w:val="005118C3"/>
    <w:rsid w:val="00512209"/>
    <w:rsid w:val="00512271"/>
    <w:rsid w:val="00512E69"/>
    <w:rsid w:val="00513041"/>
    <w:rsid w:val="0051345F"/>
    <w:rsid w:val="005139CC"/>
    <w:rsid w:val="00513C6B"/>
    <w:rsid w:val="00513C96"/>
    <w:rsid w:val="0051439E"/>
    <w:rsid w:val="005147D4"/>
    <w:rsid w:val="00514A80"/>
    <w:rsid w:val="005150B5"/>
    <w:rsid w:val="00515CE7"/>
    <w:rsid w:val="00515D16"/>
    <w:rsid w:val="00515D9C"/>
    <w:rsid w:val="00515FE5"/>
    <w:rsid w:val="00516261"/>
    <w:rsid w:val="00516818"/>
    <w:rsid w:val="00516C90"/>
    <w:rsid w:val="00516D9A"/>
    <w:rsid w:val="00516F17"/>
    <w:rsid w:val="005173B0"/>
    <w:rsid w:val="0051744F"/>
    <w:rsid w:val="00517BB1"/>
    <w:rsid w:val="00517E61"/>
    <w:rsid w:val="00517EBC"/>
    <w:rsid w:val="00521697"/>
    <w:rsid w:val="00521B10"/>
    <w:rsid w:val="00521DF0"/>
    <w:rsid w:val="00523653"/>
    <w:rsid w:val="00523916"/>
    <w:rsid w:val="0052395B"/>
    <w:rsid w:val="005245CC"/>
    <w:rsid w:val="0052464B"/>
    <w:rsid w:val="0052473D"/>
    <w:rsid w:val="00524772"/>
    <w:rsid w:val="00524D06"/>
    <w:rsid w:val="005257FA"/>
    <w:rsid w:val="00526F75"/>
    <w:rsid w:val="0052743B"/>
    <w:rsid w:val="005276DF"/>
    <w:rsid w:val="00527F2B"/>
    <w:rsid w:val="00530C5C"/>
    <w:rsid w:val="00530EE9"/>
    <w:rsid w:val="005319CD"/>
    <w:rsid w:val="00531AC9"/>
    <w:rsid w:val="00532058"/>
    <w:rsid w:val="0053227D"/>
    <w:rsid w:val="005327F0"/>
    <w:rsid w:val="00532823"/>
    <w:rsid w:val="00532CC6"/>
    <w:rsid w:val="00533120"/>
    <w:rsid w:val="00533DAA"/>
    <w:rsid w:val="00534356"/>
    <w:rsid w:val="00534E67"/>
    <w:rsid w:val="005351B3"/>
    <w:rsid w:val="005356F1"/>
    <w:rsid w:val="005362B2"/>
    <w:rsid w:val="005362BE"/>
    <w:rsid w:val="005362C2"/>
    <w:rsid w:val="00536393"/>
    <w:rsid w:val="0053666C"/>
    <w:rsid w:val="00536921"/>
    <w:rsid w:val="00536A27"/>
    <w:rsid w:val="00536F7B"/>
    <w:rsid w:val="00537220"/>
    <w:rsid w:val="0054034F"/>
    <w:rsid w:val="00540A34"/>
    <w:rsid w:val="00540ACF"/>
    <w:rsid w:val="00540E21"/>
    <w:rsid w:val="0054190D"/>
    <w:rsid w:val="005419A6"/>
    <w:rsid w:val="00542060"/>
    <w:rsid w:val="0054220E"/>
    <w:rsid w:val="005434D1"/>
    <w:rsid w:val="0054366A"/>
    <w:rsid w:val="00543C87"/>
    <w:rsid w:val="00543E92"/>
    <w:rsid w:val="00544897"/>
    <w:rsid w:val="00544F51"/>
    <w:rsid w:val="00545011"/>
    <w:rsid w:val="00545E1F"/>
    <w:rsid w:val="00545E53"/>
    <w:rsid w:val="0054646A"/>
    <w:rsid w:val="005500DE"/>
    <w:rsid w:val="00550E81"/>
    <w:rsid w:val="00550EA6"/>
    <w:rsid w:val="00551462"/>
    <w:rsid w:val="00551CEE"/>
    <w:rsid w:val="00551E92"/>
    <w:rsid w:val="00551F6C"/>
    <w:rsid w:val="005520A9"/>
    <w:rsid w:val="005520DA"/>
    <w:rsid w:val="005521D2"/>
    <w:rsid w:val="00553373"/>
    <w:rsid w:val="005536D3"/>
    <w:rsid w:val="00555837"/>
    <w:rsid w:val="00555C8E"/>
    <w:rsid w:val="00555D13"/>
    <w:rsid w:val="00555F93"/>
    <w:rsid w:val="00557660"/>
    <w:rsid w:val="005576C1"/>
    <w:rsid w:val="005613A0"/>
    <w:rsid w:val="005615D4"/>
    <w:rsid w:val="00561E95"/>
    <w:rsid w:val="00562EFB"/>
    <w:rsid w:val="005631A6"/>
    <w:rsid w:val="005631DE"/>
    <w:rsid w:val="00563357"/>
    <w:rsid w:val="005639BA"/>
    <w:rsid w:val="005649BF"/>
    <w:rsid w:val="00564AAD"/>
    <w:rsid w:val="00564B3D"/>
    <w:rsid w:val="00564B4E"/>
    <w:rsid w:val="005653EE"/>
    <w:rsid w:val="005659E8"/>
    <w:rsid w:val="00565B0E"/>
    <w:rsid w:val="00565DDC"/>
    <w:rsid w:val="00565E0F"/>
    <w:rsid w:val="005661B3"/>
    <w:rsid w:val="00566854"/>
    <w:rsid w:val="0056778B"/>
    <w:rsid w:val="00567919"/>
    <w:rsid w:val="00567A55"/>
    <w:rsid w:val="00567C64"/>
    <w:rsid w:val="00567D7F"/>
    <w:rsid w:val="00570085"/>
    <w:rsid w:val="005706AA"/>
    <w:rsid w:val="00570750"/>
    <w:rsid w:val="00570B30"/>
    <w:rsid w:val="005712C0"/>
    <w:rsid w:val="005712FD"/>
    <w:rsid w:val="005714AB"/>
    <w:rsid w:val="0057180F"/>
    <w:rsid w:val="0057223C"/>
    <w:rsid w:val="00572A50"/>
    <w:rsid w:val="00573F3E"/>
    <w:rsid w:val="005744BB"/>
    <w:rsid w:val="005744D0"/>
    <w:rsid w:val="00574E16"/>
    <w:rsid w:val="00574EE2"/>
    <w:rsid w:val="0057587F"/>
    <w:rsid w:val="00575894"/>
    <w:rsid w:val="0057591C"/>
    <w:rsid w:val="00575B4D"/>
    <w:rsid w:val="00575FAF"/>
    <w:rsid w:val="00576113"/>
    <w:rsid w:val="00576215"/>
    <w:rsid w:val="00576480"/>
    <w:rsid w:val="00576A45"/>
    <w:rsid w:val="00577944"/>
    <w:rsid w:val="005801A0"/>
    <w:rsid w:val="00580422"/>
    <w:rsid w:val="0058068D"/>
    <w:rsid w:val="005807FE"/>
    <w:rsid w:val="00580C41"/>
    <w:rsid w:val="00581100"/>
    <w:rsid w:val="0058169E"/>
    <w:rsid w:val="00581721"/>
    <w:rsid w:val="0058177D"/>
    <w:rsid w:val="005819C7"/>
    <w:rsid w:val="00581BE1"/>
    <w:rsid w:val="00581D7A"/>
    <w:rsid w:val="005823EF"/>
    <w:rsid w:val="005824AD"/>
    <w:rsid w:val="0058254E"/>
    <w:rsid w:val="00582662"/>
    <w:rsid w:val="00582B65"/>
    <w:rsid w:val="00582E5F"/>
    <w:rsid w:val="00583399"/>
    <w:rsid w:val="005836EE"/>
    <w:rsid w:val="00583B5A"/>
    <w:rsid w:val="00584215"/>
    <w:rsid w:val="0058468C"/>
    <w:rsid w:val="005849D3"/>
    <w:rsid w:val="00584B89"/>
    <w:rsid w:val="0058511C"/>
    <w:rsid w:val="005853B1"/>
    <w:rsid w:val="00586066"/>
    <w:rsid w:val="00586172"/>
    <w:rsid w:val="0058630D"/>
    <w:rsid w:val="00587405"/>
    <w:rsid w:val="005876F6"/>
    <w:rsid w:val="00590368"/>
    <w:rsid w:val="00590A6C"/>
    <w:rsid w:val="00590F0B"/>
    <w:rsid w:val="00591C9E"/>
    <w:rsid w:val="00592902"/>
    <w:rsid w:val="0059350E"/>
    <w:rsid w:val="005935FC"/>
    <w:rsid w:val="00593D54"/>
    <w:rsid w:val="005945AB"/>
    <w:rsid w:val="00594695"/>
    <w:rsid w:val="00594B54"/>
    <w:rsid w:val="00595A0C"/>
    <w:rsid w:val="00595FEC"/>
    <w:rsid w:val="00596024"/>
    <w:rsid w:val="005964EB"/>
    <w:rsid w:val="00596691"/>
    <w:rsid w:val="005970C3"/>
    <w:rsid w:val="00597A5E"/>
    <w:rsid w:val="00597A71"/>
    <w:rsid w:val="00597E04"/>
    <w:rsid w:val="00597E66"/>
    <w:rsid w:val="00597EE1"/>
    <w:rsid w:val="005A0614"/>
    <w:rsid w:val="005A0640"/>
    <w:rsid w:val="005A1A55"/>
    <w:rsid w:val="005A1DCB"/>
    <w:rsid w:val="005A2FC6"/>
    <w:rsid w:val="005A332D"/>
    <w:rsid w:val="005A4463"/>
    <w:rsid w:val="005A5367"/>
    <w:rsid w:val="005A593E"/>
    <w:rsid w:val="005A596D"/>
    <w:rsid w:val="005A5A5D"/>
    <w:rsid w:val="005A60A0"/>
    <w:rsid w:val="005A644C"/>
    <w:rsid w:val="005A684F"/>
    <w:rsid w:val="005A6C20"/>
    <w:rsid w:val="005A7B16"/>
    <w:rsid w:val="005A7E57"/>
    <w:rsid w:val="005B0B54"/>
    <w:rsid w:val="005B0F02"/>
    <w:rsid w:val="005B1288"/>
    <w:rsid w:val="005B13C5"/>
    <w:rsid w:val="005B2A45"/>
    <w:rsid w:val="005B2BAC"/>
    <w:rsid w:val="005B30A7"/>
    <w:rsid w:val="005B34A9"/>
    <w:rsid w:val="005B3838"/>
    <w:rsid w:val="005B3916"/>
    <w:rsid w:val="005B41B6"/>
    <w:rsid w:val="005B48B5"/>
    <w:rsid w:val="005B49AC"/>
    <w:rsid w:val="005B510A"/>
    <w:rsid w:val="005B534A"/>
    <w:rsid w:val="005B5400"/>
    <w:rsid w:val="005B5511"/>
    <w:rsid w:val="005B57B4"/>
    <w:rsid w:val="005B5A17"/>
    <w:rsid w:val="005B5EAC"/>
    <w:rsid w:val="005B6E66"/>
    <w:rsid w:val="005B7893"/>
    <w:rsid w:val="005B7D5F"/>
    <w:rsid w:val="005B7F78"/>
    <w:rsid w:val="005C06FB"/>
    <w:rsid w:val="005C0C37"/>
    <w:rsid w:val="005C1532"/>
    <w:rsid w:val="005C1837"/>
    <w:rsid w:val="005C1CF8"/>
    <w:rsid w:val="005C1D02"/>
    <w:rsid w:val="005C1FA3"/>
    <w:rsid w:val="005C29AC"/>
    <w:rsid w:val="005C2C2A"/>
    <w:rsid w:val="005C2EA7"/>
    <w:rsid w:val="005C2F74"/>
    <w:rsid w:val="005C3697"/>
    <w:rsid w:val="005C3BCE"/>
    <w:rsid w:val="005C4C82"/>
    <w:rsid w:val="005C50BC"/>
    <w:rsid w:val="005C5484"/>
    <w:rsid w:val="005C55A9"/>
    <w:rsid w:val="005C5996"/>
    <w:rsid w:val="005C59B9"/>
    <w:rsid w:val="005C60C0"/>
    <w:rsid w:val="005C6579"/>
    <w:rsid w:val="005C65B6"/>
    <w:rsid w:val="005C6B78"/>
    <w:rsid w:val="005C7866"/>
    <w:rsid w:val="005C7B31"/>
    <w:rsid w:val="005D0807"/>
    <w:rsid w:val="005D0943"/>
    <w:rsid w:val="005D0958"/>
    <w:rsid w:val="005D110E"/>
    <w:rsid w:val="005D178E"/>
    <w:rsid w:val="005D1B7E"/>
    <w:rsid w:val="005D1CB1"/>
    <w:rsid w:val="005D1D30"/>
    <w:rsid w:val="005D1EB6"/>
    <w:rsid w:val="005D1EBD"/>
    <w:rsid w:val="005D32B4"/>
    <w:rsid w:val="005D35E3"/>
    <w:rsid w:val="005D36E8"/>
    <w:rsid w:val="005D402E"/>
    <w:rsid w:val="005D524A"/>
    <w:rsid w:val="005D5485"/>
    <w:rsid w:val="005D56F6"/>
    <w:rsid w:val="005D5B82"/>
    <w:rsid w:val="005D61A9"/>
    <w:rsid w:val="005D6748"/>
    <w:rsid w:val="005D6B01"/>
    <w:rsid w:val="005D7078"/>
    <w:rsid w:val="005D7788"/>
    <w:rsid w:val="005D7BAE"/>
    <w:rsid w:val="005D7D65"/>
    <w:rsid w:val="005E01C1"/>
    <w:rsid w:val="005E02C6"/>
    <w:rsid w:val="005E0856"/>
    <w:rsid w:val="005E0A9E"/>
    <w:rsid w:val="005E0C87"/>
    <w:rsid w:val="005E1275"/>
    <w:rsid w:val="005E12F9"/>
    <w:rsid w:val="005E1D5E"/>
    <w:rsid w:val="005E23F6"/>
    <w:rsid w:val="005E3220"/>
    <w:rsid w:val="005E3575"/>
    <w:rsid w:val="005E5124"/>
    <w:rsid w:val="005E522E"/>
    <w:rsid w:val="005E558D"/>
    <w:rsid w:val="005E5765"/>
    <w:rsid w:val="005E5E88"/>
    <w:rsid w:val="005E5FB9"/>
    <w:rsid w:val="005E6136"/>
    <w:rsid w:val="005E61BC"/>
    <w:rsid w:val="005E62C8"/>
    <w:rsid w:val="005E6527"/>
    <w:rsid w:val="005E67AA"/>
    <w:rsid w:val="005E69D0"/>
    <w:rsid w:val="005E6AF2"/>
    <w:rsid w:val="005E7463"/>
    <w:rsid w:val="005E7590"/>
    <w:rsid w:val="005E7613"/>
    <w:rsid w:val="005F136A"/>
    <w:rsid w:val="005F18A7"/>
    <w:rsid w:val="005F1A78"/>
    <w:rsid w:val="005F1F69"/>
    <w:rsid w:val="005F268D"/>
    <w:rsid w:val="005F2DB5"/>
    <w:rsid w:val="005F3081"/>
    <w:rsid w:val="005F3655"/>
    <w:rsid w:val="005F36A3"/>
    <w:rsid w:val="005F4949"/>
    <w:rsid w:val="005F4A0C"/>
    <w:rsid w:val="005F4C39"/>
    <w:rsid w:val="005F4FD0"/>
    <w:rsid w:val="005F5073"/>
    <w:rsid w:val="005F5272"/>
    <w:rsid w:val="005F53A9"/>
    <w:rsid w:val="005F5FF2"/>
    <w:rsid w:val="005F6DF5"/>
    <w:rsid w:val="005F6FCE"/>
    <w:rsid w:val="005F7EFB"/>
    <w:rsid w:val="0060019F"/>
    <w:rsid w:val="00601307"/>
    <w:rsid w:val="00601712"/>
    <w:rsid w:val="00601762"/>
    <w:rsid w:val="00601CE4"/>
    <w:rsid w:val="00602B14"/>
    <w:rsid w:val="006032F6"/>
    <w:rsid w:val="006033A4"/>
    <w:rsid w:val="00603DCD"/>
    <w:rsid w:val="006040C8"/>
    <w:rsid w:val="00604373"/>
    <w:rsid w:val="006051D1"/>
    <w:rsid w:val="00605356"/>
    <w:rsid w:val="006060B3"/>
    <w:rsid w:val="006067D5"/>
    <w:rsid w:val="00606CDE"/>
    <w:rsid w:val="00606D26"/>
    <w:rsid w:val="006074DA"/>
    <w:rsid w:val="006079A4"/>
    <w:rsid w:val="00607A08"/>
    <w:rsid w:val="00607BE1"/>
    <w:rsid w:val="00607E69"/>
    <w:rsid w:val="006103B5"/>
    <w:rsid w:val="00610446"/>
    <w:rsid w:val="00610460"/>
    <w:rsid w:val="00610702"/>
    <w:rsid w:val="00610877"/>
    <w:rsid w:val="00610E83"/>
    <w:rsid w:val="00610EAB"/>
    <w:rsid w:val="00610F95"/>
    <w:rsid w:val="00610FC0"/>
    <w:rsid w:val="006113C8"/>
    <w:rsid w:val="00611432"/>
    <w:rsid w:val="00611528"/>
    <w:rsid w:val="00611668"/>
    <w:rsid w:val="006116D3"/>
    <w:rsid w:val="00611CE0"/>
    <w:rsid w:val="0061221F"/>
    <w:rsid w:val="00612306"/>
    <w:rsid w:val="0061310E"/>
    <w:rsid w:val="00613165"/>
    <w:rsid w:val="0061366B"/>
    <w:rsid w:val="0061384A"/>
    <w:rsid w:val="006139F6"/>
    <w:rsid w:val="00615180"/>
    <w:rsid w:val="00615366"/>
    <w:rsid w:val="006154C9"/>
    <w:rsid w:val="006155CE"/>
    <w:rsid w:val="006160D3"/>
    <w:rsid w:val="00616248"/>
    <w:rsid w:val="0061657C"/>
    <w:rsid w:val="00616DD5"/>
    <w:rsid w:val="00616FA9"/>
    <w:rsid w:val="00617EEB"/>
    <w:rsid w:val="0062049C"/>
    <w:rsid w:val="00620FB5"/>
    <w:rsid w:val="0062143C"/>
    <w:rsid w:val="00621618"/>
    <w:rsid w:val="00621817"/>
    <w:rsid w:val="00621958"/>
    <w:rsid w:val="00621A52"/>
    <w:rsid w:val="00621FA9"/>
    <w:rsid w:val="0062201C"/>
    <w:rsid w:val="00623223"/>
    <w:rsid w:val="00623AE7"/>
    <w:rsid w:val="00623FD4"/>
    <w:rsid w:val="00624DD3"/>
    <w:rsid w:val="00624DE6"/>
    <w:rsid w:val="00627469"/>
    <w:rsid w:val="006276A0"/>
    <w:rsid w:val="00627B45"/>
    <w:rsid w:val="00627DE7"/>
    <w:rsid w:val="00630403"/>
    <w:rsid w:val="006306A8"/>
    <w:rsid w:val="006309D6"/>
    <w:rsid w:val="006309DE"/>
    <w:rsid w:val="00630DD0"/>
    <w:rsid w:val="006321AA"/>
    <w:rsid w:val="006325F1"/>
    <w:rsid w:val="00632645"/>
    <w:rsid w:val="006328CE"/>
    <w:rsid w:val="00632E65"/>
    <w:rsid w:val="00633161"/>
    <w:rsid w:val="0063322B"/>
    <w:rsid w:val="00633805"/>
    <w:rsid w:val="00633BE3"/>
    <w:rsid w:val="006349EF"/>
    <w:rsid w:val="00634E16"/>
    <w:rsid w:val="0063601E"/>
    <w:rsid w:val="006360F1"/>
    <w:rsid w:val="0063613D"/>
    <w:rsid w:val="00636F68"/>
    <w:rsid w:val="00637981"/>
    <w:rsid w:val="00637EF5"/>
    <w:rsid w:val="0064098D"/>
    <w:rsid w:val="00640D0A"/>
    <w:rsid w:val="0064126B"/>
    <w:rsid w:val="0064181A"/>
    <w:rsid w:val="00641C24"/>
    <w:rsid w:val="00642904"/>
    <w:rsid w:val="006431A5"/>
    <w:rsid w:val="00643DC4"/>
    <w:rsid w:val="006443FF"/>
    <w:rsid w:val="006446F1"/>
    <w:rsid w:val="00644D38"/>
    <w:rsid w:val="006451F6"/>
    <w:rsid w:val="006455D4"/>
    <w:rsid w:val="00645A5B"/>
    <w:rsid w:val="0064706D"/>
    <w:rsid w:val="00647134"/>
    <w:rsid w:val="0064718B"/>
    <w:rsid w:val="00647259"/>
    <w:rsid w:val="00647AEC"/>
    <w:rsid w:val="00647FC2"/>
    <w:rsid w:val="006500FC"/>
    <w:rsid w:val="00650671"/>
    <w:rsid w:val="00650B68"/>
    <w:rsid w:val="00650B95"/>
    <w:rsid w:val="00650CFD"/>
    <w:rsid w:val="00650F83"/>
    <w:rsid w:val="00651349"/>
    <w:rsid w:val="006514C6"/>
    <w:rsid w:val="00652245"/>
    <w:rsid w:val="006523BE"/>
    <w:rsid w:val="006528DD"/>
    <w:rsid w:val="00652EFB"/>
    <w:rsid w:val="006532C9"/>
    <w:rsid w:val="00653B53"/>
    <w:rsid w:val="00653FF7"/>
    <w:rsid w:val="0065428F"/>
    <w:rsid w:val="00654847"/>
    <w:rsid w:val="00654C4B"/>
    <w:rsid w:val="00654CBC"/>
    <w:rsid w:val="00655B47"/>
    <w:rsid w:val="00655DFA"/>
    <w:rsid w:val="006566A8"/>
    <w:rsid w:val="006566D0"/>
    <w:rsid w:val="006568F1"/>
    <w:rsid w:val="00656A3F"/>
    <w:rsid w:val="00656AE5"/>
    <w:rsid w:val="00656DB8"/>
    <w:rsid w:val="00656F77"/>
    <w:rsid w:val="00660097"/>
    <w:rsid w:val="006606FC"/>
    <w:rsid w:val="0066083D"/>
    <w:rsid w:val="00660A22"/>
    <w:rsid w:val="0066113B"/>
    <w:rsid w:val="006615AB"/>
    <w:rsid w:val="006623A1"/>
    <w:rsid w:val="00662417"/>
    <w:rsid w:val="00664151"/>
    <w:rsid w:val="0066440B"/>
    <w:rsid w:val="00664585"/>
    <w:rsid w:val="00664D9F"/>
    <w:rsid w:val="00664EEB"/>
    <w:rsid w:val="00664F6A"/>
    <w:rsid w:val="0066549F"/>
    <w:rsid w:val="006654A9"/>
    <w:rsid w:val="006656CC"/>
    <w:rsid w:val="00665B40"/>
    <w:rsid w:val="00665C65"/>
    <w:rsid w:val="00665FDD"/>
    <w:rsid w:val="00666588"/>
    <w:rsid w:val="00666671"/>
    <w:rsid w:val="00666842"/>
    <w:rsid w:val="00667413"/>
    <w:rsid w:val="006675E8"/>
    <w:rsid w:val="0067119D"/>
    <w:rsid w:val="0067131F"/>
    <w:rsid w:val="00671B45"/>
    <w:rsid w:val="00672173"/>
    <w:rsid w:val="0067217E"/>
    <w:rsid w:val="00672F17"/>
    <w:rsid w:val="00672F1B"/>
    <w:rsid w:val="006734E2"/>
    <w:rsid w:val="006737D5"/>
    <w:rsid w:val="006738FA"/>
    <w:rsid w:val="00673D56"/>
    <w:rsid w:val="0067417A"/>
    <w:rsid w:val="006743C0"/>
    <w:rsid w:val="00675609"/>
    <w:rsid w:val="0067642F"/>
    <w:rsid w:val="00676440"/>
    <w:rsid w:val="006765DF"/>
    <w:rsid w:val="006766FA"/>
    <w:rsid w:val="006768D1"/>
    <w:rsid w:val="00677135"/>
    <w:rsid w:val="006772CC"/>
    <w:rsid w:val="006775DE"/>
    <w:rsid w:val="00677774"/>
    <w:rsid w:val="00680088"/>
    <w:rsid w:val="0068010D"/>
    <w:rsid w:val="00680C93"/>
    <w:rsid w:val="006812CA"/>
    <w:rsid w:val="00682643"/>
    <w:rsid w:val="00682E7C"/>
    <w:rsid w:val="00682EB5"/>
    <w:rsid w:val="006839B3"/>
    <w:rsid w:val="006849B0"/>
    <w:rsid w:val="00684DD9"/>
    <w:rsid w:val="00685306"/>
    <w:rsid w:val="00685C80"/>
    <w:rsid w:val="006864B9"/>
    <w:rsid w:val="0068736B"/>
    <w:rsid w:val="00687480"/>
    <w:rsid w:val="00687B0A"/>
    <w:rsid w:val="00690077"/>
    <w:rsid w:val="0069072B"/>
    <w:rsid w:val="00690868"/>
    <w:rsid w:val="0069092D"/>
    <w:rsid w:val="00690BDA"/>
    <w:rsid w:val="006910B9"/>
    <w:rsid w:val="0069137E"/>
    <w:rsid w:val="006915F3"/>
    <w:rsid w:val="0069235B"/>
    <w:rsid w:val="006925AD"/>
    <w:rsid w:val="0069272D"/>
    <w:rsid w:val="00692AB1"/>
    <w:rsid w:val="00692FB4"/>
    <w:rsid w:val="0069330A"/>
    <w:rsid w:val="00693799"/>
    <w:rsid w:val="006939E4"/>
    <w:rsid w:val="00693A8A"/>
    <w:rsid w:val="00693C7E"/>
    <w:rsid w:val="00693E9F"/>
    <w:rsid w:val="00693EF0"/>
    <w:rsid w:val="00693FAB"/>
    <w:rsid w:val="0069496E"/>
    <w:rsid w:val="00694B7F"/>
    <w:rsid w:val="00694E5C"/>
    <w:rsid w:val="00695564"/>
    <w:rsid w:val="00695DCD"/>
    <w:rsid w:val="00695E2D"/>
    <w:rsid w:val="00695FE9"/>
    <w:rsid w:val="00696468"/>
    <w:rsid w:val="0069691C"/>
    <w:rsid w:val="006978E7"/>
    <w:rsid w:val="006A001F"/>
    <w:rsid w:val="006A04BA"/>
    <w:rsid w:val="006A0B29"/>
    <w:rsid w:val="006A11BA"/>
    <w:rsid w:val="006A1768"/>
    <w:rsid w:val="006A1E07"/>
    <w:rsid w:val="006A2159"/>
    <w:rsid w:val="006A2467"/>
    <w:rsid w:val="006A26D9"/>
    <w:rsid w:val="006A2AE6"/>
    <w:rsid w:val="006A2F22"/>
    <w:rsid w:val="006A3719"/>
    <w:rsid w:val="006A38CA"/>
    <w:rsid w:val="006A3EDD"/>
    <w:rsid w:val="006A424C"/>
    <w:rsid w:val="006A4325"/>
    <w:rsid w:val="006A45C3"/>
    <w:rsid w:val="006A49BE"/>
    <w:rsid w:val="006A4C0B"/>
    <w:rsid w:val="006A4E08"/>
    <w:rsid w:val="006A571C"/>
    <w:rsid w:val="006A5D03"/>
    <w:rsid w:val="006A68CE"/>
    <w:rsid w:val="006A6B9C"/>
    <w:rsid w:val="006A6F0E"/>
    <w:rsid w:val="006A70AD"/>
    <w:rsid w:val="006A74A6"/>
    <w:rsid w:val="006A7AC8"/>
    <w:rsid w:val="006A7E44"/>
    <w:rsid w:val="006A7E99"/>
    <w:rsid w:val="006B11E7"/>
    <w:rsid w:val="006B167D"/>
    <w:rsid w:val="006B176F"/>
    <w:rsid w:val="006B1CF6"/>
    <w:rsid w:val="006B1E11"/>
    <w:rsid w:val="006B2515"/>
    <w:rsid w:val="006B29E4"/>
    <w:rsid w:val="006B3116"/>
    <w:rsid w:val="006B3F4B"/>
    <w:rsid w:val="006B3F72"/>
    <w:rsid w:val="006B3FE1"/>
    <w:rsid w:val="006B400C"/>
    <w:rsid w:val="006B42F5"/>
    <w:rsid w:val="006B43F2"/>
    <w:rsid w:val="006B485D"/>
    <w:rsid w:val="006B48CF"/>
    <w:rsid w:val="006B4918"/>
    <w:rsid w:val="006B4BC9"/>
    <w:rsid w:val="006B4D5D"/>
    <w:rsid w:val="006B5094"/>
    <w:rsid w:val="006B5693"/>
    <w:rsid w:val="006B5E73"/>
    <w:rsid w:val="006B603B"/>
    <w:rsid w:val="006B60A2"/>
    <w:rsid w:val="006B60B7"/>
    <w:rsid w:val="006B6131"/>
    <w:rsid w:val="006B73AB"/>
    <w:rsid w:val="006B7529"/>
    <w:rsid w:val="006B7620"/>
    <w:rsid w:val="006C0370"/>
    <w:rsid w:val="006C0591"/>
    <w:rsid w:val="006C08F3"/>
    <w:rsid w:val="006C0D02"/>
    <w:rsid w:val="006C0F5D"/>
    <w:rsid w:val="006C1A2F"/>
    <w:rsid w:val="006C1D5B"/>
    <w:rsid w:val="006C2922"/>
    <w:rsid w:val="006C389B"/>
    <w:rsid w:val="006C3C78"/>
    <w:rsid w:val="006C4009"/>
    <w:rsid w:val="006C412A"/>
    <w:rsid w:val="006C4B69"/>
    <w:rsid w:val="006C5C65"/>
    <w:rsid w:val="006C5C70"/>
    <w:rsid w:val="006C7055"/>
    <w:rsid w:val="006C743C"/>
    <w:rsid w:val="006C74F4"/>
    <w:rsid w:val="006C77F0"/>
    <w:rsid w:val="006C7A71"/>
    <w:rsid w:val="006C7B10"/>
    <w:rsid w:val="006C7D50"/>
    <w:rsid w:val="006C7EBA"/>
    <w:rsid w:val="006D0BE4"/>
    <w:rsid w:val="006D0FA8"/>
    <w:rsid w:val="006D0FB1"/>
    <w:rsid w:val="006D12E8"/>
    <w:rsid w:val="006D2279"/>
    <w:rsid w:val="006D280D"/>
    <w:rsid w:val="006D3108"/>
    <w:rsid w:val="006D336F"/>
    <w:rsid w:val="006D38A9"/>
    <w:rsid w:val="006D3F06"/>
    <w:rsid w:val="006D4CF4"/>
    <w:rsid w:val="006D4D5F"/>
    <w:rsid w:val="006D4E9F"/>
    <w:rsid w:val="006D5555"/>
    <w:rsid w:val="006D5951"/>
    <w:rsid w:val="006D5D2D"/>
    <w:rsid w:val="006D680A"/>
    <w:rsid w:val="006D685B"/>
    <w:rsid w:val="006D709A"/>
    <w:rsid w:val="006D79AE"/>
    <w:rsid w:val="006D7DE7"/>
    <w:rsid w:val="006E0366"/>
    <w:rsid w:val="006E0EF0"/>
    <w:rsid w:val="006E1FE4"/>
    <w:rsid w:val="006E2176"/>
    <w:rsid w:val="006E28B2"/>
    <w:rsid w:val="006E2AD2"/>
    <w:rsid w:val="006E344A"/>
    <w:rsid w:val="006E3A43"/>
    <w:rsid w:val="006E3C60"/>
    <w:rsid w:val="006E41A0"/>
    <w:rsid w:val="006E464E"/>
    <w:rsid w:val="006E4AD9"/>
    <w:rsid w:val="006E4EC0"/>
    <w:rsid w:val="006E4F4A"/>
    <w:rsid w:val="006E5136"/>
    <w:rsid w:val="006E5363"/>
    <w:rsid w:val="006E5405"/>
    <w:rsid w:val="006E5BAF"/>
    <w:rsid w:val="006E5F8B"/>
    <w:rsid w:val="006E6293"/>
    <w:rsid w:val="006E6313"/>
    <w:rsid w:val="006E6395"/>
    <w:rsid w:val="006E6949"/>
    <w:rsid w:val="006E6B9A"/>
    <w:rsid w:val="006E790B"/>
    <w:rsid w:val="006E7A36"/>
    <w:rsid w:val="006E7B38"/>
    <w:rsid w:val="006F099D"/>
    <w:rsid w:val="006F0E5F"/>
    <w:rsid w:val="006F1560"/>
    <w:rsid w:val="006F1BDB"/>
    <w:rsid w:val="006F1FC8"/>
    <w:rsid w:val="006F236F"/>
    <w:rsid w:val="006F3869"/>
    <w:rsid w:val="006F3CE5"/>
    <w:rsid w:val="006F4168"/>
    <w:rsid w:val="006F5351"/>
    <w:rsid w:val="006F5BDF"/>
    <w:rsid w:val="006F5EEF"/>
    <w:rsid w:val="006F5F12"/>
    <w:rsid w:val="006F634A"/>
    <w:rsid w:val="006F63AA"/>
    <w:rsid w:val="006F6433"/>
    <w:rsid w:val="006F6A3D"/>
    <w:rsid w:val="006F743F"/>
    <w:rsid w:val="006F7F94"/>
    <w:rsid w:val="0070003E"/>
    <w:rsid w:val="00700061"/>
    <w:rsid w:val="00700304"/>
    <w:rsid w:val="007010F4"/>
    <w:rsid w:val="00701914"/>
    <w:rsid w:val="00701C7D"/>
    <w:rsid w:val="00701D0E"/>
    <w:rsid w:val="00701F64"/>
    <w:rsid w:val="00702ABC"/>
    <w:rsid w:val="007033DF"/>
    <w:rsid w:val="00703677"/>
    <w:rsid w:val="00703994"/>
    <w:rsid w:val="00703E28"/>
    <w:rsid w:val="007041D4"/>
    <w:rsid w:val="007043DD"/>
    <w:rsid w:val="00704481"/>
    <w:rsid w:val="007048F5"/>
    <w:rsid w:val="00704B13"/>
    <w:rsid w:val="00704BEA"/>
    <w:rsid w:val="00704BF4"/>
    <w:rsid w:val="0070538D"/>
    <w:rsid w:val="007053D6"/>
    <w:rsid w:val="00705415"/>
    <w:rsid w:val="0070554B"/>
    <w:rsid w:val="00705CAE"/>
    <w:rsid w:val="00705D93"/>
    <w:rsid w:val="00706340"/>
    <w:rsid w:val="0070694E"/>
    <w:rsid w:val="00706A0B"/>
    <w:rsid w:val="00706E79"/>
    <w:rsid w:val="00707776"/>
    <w:rsid w:val="00707A5C"/>
    <w:rsid w:val="00707A78"/>
    <w:rsid w:val="00707AE7"/>
    <w:rsid w:val="00707C63"/>
    <w:rsid w:val="00710055"/>
    <w:rsid w:val="007109EB"/>
    <w:rsid w:val="00710AC7"/>
    <w:rsid w:val="00710C30"/>
    <w:rsid w:val="00710E32"/>
    <w:rsid w:val="007119B9"/>
    <w:rsid w:val="00711C48"/>
    <w:rsid w:val="00712F71"/>
    <w:rsid w:val="00713434"/>
    <w:rsid w:val="00713C0B"/>
    <w:rsid w:val="00713DEA"/>
    <w:rsid w:val="0071438D"/>
    <w:rsid w:val="00714BD8"/>
    <w:rsid w:val="00715352"/>
    <w:rsid w:val="00715E03"/>
    <w:rsid w:val="00716DF2"/>
    <w:rsid w:val="00716E6E"/>
    <w:rsid w:val="00716EAF"/>
    <w:rsid w:val="00716F0C"/>
    <w:rsid w:val="007172E6"/>
    <w:rsid w:val="007176EC"/>
    <w:rsid w:val="007176F7"/>
    <w:rsid w:val="00717838"/>
    <w:rsid w:val="00717A4A"/>
    <w:rsid w:val="00720117"/>
    <w:rsid w:val="0072085B"/>
    <w:rsid w:val="00720877"/>
    <w:rsid w:val="007209A3"/>
    <w:rsid w:val="00722381"/>
    <w:rsid w:val="00722CCB"/>
    <w:rsid w:val="00722E03"/>
    <w:rsid w:val="00723482"/>
    <w:rsid w:val="00723CEB"/>
    <w:rsid w:val="00724748"/>
    <w:rsid w:val="00724803"/>
    <w:rsid w:val="00725148"/>
    <w:rsid w:val="00725C69"/>
    <w:rsid w:val="00726423"/>
    <w:rsid w:val="007266C8"/>
    <w:rsid w:val="007269AD"/>
    <w:rsid w:val="00727133"/>
    <w:rsid w:val="007272AD"/>
    <w:rsid w:val="0072737B"/>
    <w:rsid w:val="0072764E"/>
    <w:rsid w:val="00727D1E"/>
    <w:rsid w:val="00730026"/>
    <w:rsid w:val="00730207"/>
    <w:rsid w:val="0073043A"/>
    <w:rsid w:val="00731078"/>
    <w:rsid w:val="00731C9E"/>
    <w:rsid w:val="00732184"/>
    <w:rsid w:val="0073267A"/>
    <w:rsid w:val="00732A79"/>
    <w:rsid w:val="00732C5A"/>
    <w:rsid w:val="007334D1"/>
    <w:rsid w:val="00733550"/>
    <w:rsid w:val="00733F7C"/>
    <w:rsid w:val="0073411F"/>
    <w:rsid w:val="0073546D"/>
    <w:rsid w:val="00735573"/>
    <w:rsid w:val="007356D9"/>
    <w:rsid w:val="0073606F"/>
    <w:rsid w:val="00736B31"/>
    <w:rsid w:val="00736BE4"/>
    <w:rsid w:val="00736F69"/>
    <w:rsid w:val="0073718E"/>
    <w:rsid w:val="00737830"/>
    <w:rsid w:val="00737D6A"/>
    <w:rsid w:val="00743AC6"/>
    <w:rsid w:val="0074408C"/>
    <w:rsid w:val="0074416B"/>
    <w:rsid w:val="007441D2"/>
    <w:rsid w:val="00744721"/>
    <w:rsid w:val="0074472D"/>
    <w:rsid w:val="00744DF9"/>
    <w:rsid w:val="007459A8"/>
    <w:rsid w:val="00746747"/>
    <w:rsid w:val="00747FF2"/>
    <w:rsid w:val="00750C40"/>
    <w:rsid w:val="007512C5"/>
    <w:rsid w:val="007516FF"/>
    <w:rsid w:val="00751A35"/>
    <w:rsid w:val="00751AA3"/>
    <w:rsid w:val="00751EC2"/>
    <w:rsid w:val="00753026"/>
    <w:rsid w:val="00753BAE"/>
    <w:rsid w:val="007542E8"/>
    <w:rsid w:val="0075495D"/>
    <w:rsid w:val="00754D8E"/>
    <w:rsid w:val="007550DC"/>
    <w:rsid w:val="00755D23"/>
    <w:rsid w:val="00755EE7"/>
    <w:rsid w:val="00755F35"/>
    <w:rsid w:val="00756221"/>
    <w:rsid w:val="007569F3"/>
    <w:rsid w:val="007575C6"/>
    <w:rsid w:val="00757CCD"/>
    <w:rsid w:val="00760C67"/>
    <w:rsid w:val="00760C85"/>
    <w:rsid w:val="00760E8E"/>
    <w:rsid w:val="00760F72"/>
    <w:rsid w:val="00761950"/>
    <w:rsid w:val="00761D0B"/>
    <w:rsid w:val="007626D8"/>
    <w:rsid w:val="007627F6"/>
    <w:rsid w:val="00762955"/>
    <w:rsid w:val="00762FCC"/>
    <w:rsid w:val="00763619"/>
    <w:rsid w:val="00763659"/>
    <w:rsid w:val="0076367D"/>
    <w:rsid w:val="0076371A"/>
    <w:rsid w:val="007638C3"/>
    <w:rsid w:val="0076456D"/>
    <w:rsid w:val="0076480E"/>
    <w:rsid w:val="007665CE"/>
    <w:rsid w:val="007668D1"/>
    <w:rsid w:val="00766BCC"/>
    <w:rsid w:val="00766CA9"/>
    <w:rsid w:val="00767C8F"/>
    <w:rsid w:val="00767EC4"/>
    <w:rsid w:val="007704D1"/>
    <w:rsid w:val="00770633"/>
    <w:rsid w:val="00770B54"/>
    <w:rsid w:val="00771B4F"/>
    <w:rsid w:val="00771E9E"/>
    <w:rsid w:val="0077205E"/>
    <w:rsid w:val="007723FB"/>
    <w:rsid w:val="00772B35"/>
    <w:rsid w:val="00773E08"/>
    <w:rsid w:val="00773FDB"/>
    <w:rsid w:val="00774168"/>
    <w:rsid w:val="00774475"/>
    <w:rsid w:val="00774AA1"/>
    <w:rsid w:val="00774B43"/>
    <w:rsid w:val="00774C3D"/>
    <w:rsid w:val="00774CCD"/>
    <w:rsid w:val="00774D04"/>
    <w:rsid w:val="00775558"/>
    <w:rsid w:val="0077571D"/>
    <w:rsid w:val="007758AC"/>
    <w:rsid w:val="00775DFC"/>
    <w:rsid w:val="00776D4D"/>
    <w:rsid w:val="00776EA1"/>
    <w:rsid w:val="00777045"/>
    <w:rsid w:val="00780185"/>
    <w:rsid w:val="007801C4"/>
    <w:rsid w:val="0078088C"/>
    <w:rsid w:val="0078155D"/>
    <w:rsid w:val="00781AA4"/>
    <w:rsid w:val="00781BCB"/>
    <w:rsid w:val="00781FE1"/>
    <w:rsid w:val="007826BA"/>
    <w:rsid w:val="00782C7F"/>
    <w:rsid w:val="00782E5D"/>
    <w:rsid w:val="007832C6"/>
    <w:rsid w:val="00783355"/>
    <w:rsid w:val="00783453"/>
    <w:rsid w:val="00783717"/>
    <w:rsid w:val="00784318"/>
    <w:rsid w:val="007847B6"/>
    <w:rsid w:val="00784AA3"/>
    <w:rsid w:val="00784B37"/>
    <w:rsid w:val="00784DEC"/>
    <w:rsid w:val="00784EF8"/>
    <w:rsid w:val="007857BF"/>
    <w:rsid w:val="00786826"/>
    <w:rsid w:val="00786BC9"/>
    <w:rsid w:val="00787E35"/>
    <w:rsid w:val="00790480"/>
    <w:rsid w:val="00790795"/>
    <w:rsid w:val="00790D8F"/>
    <w:rsid w:val="00791268"/>
    <w:rsid w:val="00792405"/>
    <w:rsid w:val="00793790"/>
    <w:rsid w:val="00793921"/>
    <w:rsid w:val="00793C97"/>
    <w:rsid w:val="00794710"/>
    <w:rsid w:val="00794D94"/>
    <w:rsid w:val="00794EAB"/>
    <w:rsid w:val="00795256"/>
    <w:rsid w:val="007952C4"/>
    <w:rsid w:val="007952D9"/>
    <w:rsid w:val="007953F6"/>
    <w:rsid w:val="0079553C"/>
    <w:rsid w:val="00795C5D"/>
    <w:rsid w:val="007962D7"/>
    <w:rsid w:val="007962FB"/>
    <w:rsid w:val="00796BF0"/>
    <w:rsid w:val="0079773E"/>
    <w:rsid w:val="00797FBD"/>
    <w:rsid w:val="007A05CD"/>
    <w:rsid w:val="007A0634"/>
    <w:rsid w:val="007A0745"/>
    <w:rsid w:val="007A0E22"/>
    <w:rsid w:val="007A1424"/>
    <w:rsid w:val="007A19C5"/>
    <w:rsid w:val="007A1B7E"/>
    <w:rsid w:val="007A1C10"/>
    <w:rsid w:val="007A1D44"/>
    <w:rsid w:val="007A24D9"/>
    <w:rsid w:val="007A2DE0"/>
    <w:rsid w:val="007A31F5"/>
    <w:rsid w:val="007A39FF"/>
    <w:rsid w:val="007A3FE5"/>
    <w:rsid w:val="007A43D3"/>
    <w:rsid w:val="007A43ED"/>
    <w:rsid w:val="007A4A1C"/>
    <w:rsid w:val="007A5484"/>
    <w:rsid w:val="007A54EC"/>
    <w:rsid w:val="007A5576"/>
    <w:rsid w:val="007A5A73"/>
    <w:rsid w:val="007A6160"/>
    <w:rsid w:val="007A6578"/>
    <w:rsid w:val="007A696D"/>
    <w:rsid w:val="007A6C37"/>
    <w:rsid w:val="007A6DD0"/>
    <w:rsid w:val="007A70C1"/>
    <w:rsid w:val="007A7113"/>
    <w:rsid w:val="007A7378"/>
    <w:rsid w:val="007A79F1"/>
    <w:rsid w:val="007B010B"/>
    <w:rsid w:val="007B07ED"/>
    <w:rsid w:val="007B0B5D"/>
    <w:rsid w:val="007B0C4D"/>
    <w:rsid w:val="007B0CE9"/>
    <w:rsid w:val="007B0E27"/>
    <w:rsid w:val="007B0FDC"/>
    <w:rsid w:val="007B1056"/>
    <w:rsid w:val="007B183B"/>
    <w:rsid w:val="007B1950"/>
    <w:rsid w:val="007B1CEF"/>
    <w:rsid w:val="007B1DE5"/>
    <w:rsid w:val="007B21A3"/>
    <w:rsid w:val="007B2E42"/>
    <w:rsid w:val="007B320C"/>
    <w:rsid w:val="007B34A0"/>
    <w:rsid w:val="007B399E"/>
    <w:rsid w:val="007B3C2B"/>
    <w:rsid w:val="007B3C89"/>
    <w:rsid w:val="007B47D2"/>
    <w:rsid w:val="007B48AE"/>
    <w:rsid w:val="007B5283"/>
    <w:rsid w:val="007B5B40"/>
    <w:rsid w:val="007B6034"/>
    <w:rsid w:val="007B6281"/>
    <w:rsid w:val="007B6E3A"/>
    <w:rsid w:val="007B6E40"/>
    <w:rsid w:val="007B6F39"/>
    <w:rsid w:val="007B7013"/>
    <w:rsid w:val="007B7120"/>
    <w:rsid w:val="007B71B1"/>
    <w:rsid w:val="007B71F8"/>
    <w:rsid w:val="007B73CA"/>
    <w:rsid w:val="007B74A8"/>
    <w:rsid w:val="007B795C"/>
    <w:rsid w:val="007C00ED"/>
    <w:rsid w:val="007C05F1"/>
    <w:rsid w:val="007C0868"/>
    <w:rsid w:val="007C108A"/>
    <w:rsid w:val="007C158E"/>
    <w:rsid w:val="007C15FC"/>
    <w:rsid w:val="007C20BD"/>
    <w:rsid w:val="007C21C1"/>
    <w:rsid w:val="007C249B"/>
    <w:rsid w:val="007C2890"/>
    <w:rsid w:val="007C3B6F"/>
    <w:rsid w:val="007C3DCC"/>
    <w:rsid w:val="007C3F6F"/>
    <w:rsid w:val="007C4B57"/>
    <w:rsid w:val="007C4BF3"/>
    <w:rsid w:val="007C4E7D"/>
    <w:rsid w:val="007C5331"/>
    <w:rsid w:val="007C55BF"/>
    <w:rsid w:val="007C5A46"/>
    <w:rsid w:val="007C60D4"/>
    <w:rsid w:val="007C6401"/>
    <w:rsid w:val="007C790D"/>
    <w:rsid w:val="007C7A59"/>
    <w:rsid w:val="007C7ACC"/>
    <w:rsid w:val="007C7D02"/>
    <w:rsid w:val="007D0917"/>
    <w:rsid w:val="007D0A3A"/>
    <w:rsid w:val="007D0EC1"/>
    <w:rsid w:val="007D148F"/>
    <w:rsid w:val="007D1873"/>
    <w:rsid w:val="007D1B62"/>
    <w:rsid w:val="007D1F12"/>
    <w:rsid w:val="007D2077"/>
    <w:rsid w:val="007D2FAC"/>
    <w:rsid w:val="007D3104"/>
    <w:rsid w:val="007D4B17"/>
    <w:rsid w:val="007D4DB3"/>
    <w:rsid w:val="007D5A56"/>
    <w:rsid w:val="007D5D00"/>
    <w:rsid w:val="007D5DB4"/>
    <w:rsid w:val="007D5FCE"/>
    <w:rsid w:val="007D6093"/>
    <w:rsid w:val="007D6221"/>
    <w:rsid w:val="007D6457"/>
    <w:rsid w:val="007D6569"/>
    <w:rsid w:val="007D671B"/>
    <w:rsid w:val="007D6CC2"/>
    <w:rsid w:val="007D6DD7"/>
    <w:rsid w:val="007D6E0E"/>
    <w:rsid w:val="007D7027"/>
    <w:rsid w:val="007D7586"/>
    <w:rsid w:val="007D7A61"/>
    <w:rsid w:val="007E0048"/>
    <w:rsid w:val="007E0514"/>
    <w:rsid w:val="007E0832"/>
    <w:rsid w:val="007E0DAF"/>
    <w:rsid w:val="007E111D"/>
    <w:rsid w:val="007E1C22"/>
    <w:rsid w:val="007E22D7"/>
    <w:rsid w:val="007E339D"/>
    <w:rsid w:val="007E3860"/>
    <w:rsid w:val="007E40ED"/>
    <w:rsid w:val="007E42AF"/>
    <w:rsid w:val="007E435F"/>
    <w:rsid w:val="007E48FC"/>
    <w:rsid w:val="007E4A83"/>
    <w:rsid w:val="007E4AD4"/>
    <w:rsid w:val="007E4B1A"/>
    <w:rsid w:val="007E4E20"/>
    <w:rsid w:val="007E5838"/>
    <w:rsid w:val="007E5C3F"/>
    <w:rsid w:val="007E6682"/>
    <w:rsid w:val="007E6B12"/>
    <w:rsid w:val="007E709B"/>
    <w:rsid w:val="007E7E33"/>
    <w:rsid w:val="007F00CF"/>
    <w:rsid w:val="007F086A"/>
    <w:rsid w:val="007F142A"/>
    <w:rsid w:val="007F19C6"/>
    <w:rsid w:val="007F1A31"/>
    <w:rsid w:val="007F1AF5"/>
    <w:rsid w:val="007F1EE9"/>
    <w:rsid w:val="007F2357"/>
    <w:rsid w:val="007F25A8"/>
    <w:rsid w:val="007F334F"/>
    <w:rsid w:val="007F34BC"/>
    <w:rsid w:val="007F3CE7"/>
    <w:rsid w:val="007F4840"/>
    <w:rsid w:val="007F50A8"/>
    <w:rsid w:val="007F50C6"/>
    <w:rsid w:val="007F5ADC"/>
    <w:rsid w:val="007F5FAB"/>
    <w:rsid w:val="007F7007"/>
    <w:rsid w:val="007F7718"/>
    <w:rsid w:val="00800837"/>
    <w:rsid w:val="00801402"/>
    <w:rsid w:val="0080151F"/>
    <w:rsid w:val="0080187F"/>
    <w:rsid w:val="00801D8C"/>
    <w:rsid w:val="0080203B"/>
    <w:rsid w:val="008022B8"/>
    <w:rsid w:val="00802A34"/>
    <w:rsid w:val="00802E61"/>
    <w:rsid w:val="008035B6"/>
    <w:rsid w:val="0080389A"/>
    <w:rsid w:val="008039B8"/>
    <w:rsid w:val="00803F5A"/>
    <w:rsid w:val="0080496D"/>
    <w:rsid w:val="00804D19"/>
    <w:rsid w:val="00805018"/>
    <w:rsid w:val="008056B7"/>
    <w:rsid w:val="00805A21"/>
    <w:rsid w:val="00805BA8"/>
    <w:rsid w:val="00805D15"/>
    <w:rsid w:val="0080672D"/>
    <w:rsid w:val="00806CBA"/>
    <w:rsid w:val="00807187"/>
    <w:rsid w:val="0080767C"/>
    <w:rsid w:val="00807A42"/>
    <w:rsid w:val="00807E64"/>
    <w:rsid w:val="00807FCF"/>
    <w:rsid w:val="00810ABF"/>
    <w:rsid w:val="00810AEE"/>
    <w:rsid w:val="00810CE6"/>
    <w:rsid w:val="00810E1A"/>
    <w:rsid w:val="00811331"/>
    <w:rsid w:val="00812702"/>
    <w:rsid w:val="00812CDB"/>
    <w:rsid w:val="008138FE"/>
    <w:rsid w:val="00814380"/>
    <w:rsid w:val="008150B7"/>
    <w:rsid w:val="008150DC"/>
    <w:rsid w:val="008154F5"/>
    <w:rsid w:val="008157EC"/>
    <w:rsid w:val="00816C02"/>
    <w:rsid w:val="00816F63"/>
    <w:rsid w:val="00816FE2"/>
    <w:rsid w:val="00817300"/>
    <w:rsid w:val="00817505"/>
    <w:rsid w:val="00820A4F"/>
    <w:rsid w:val="00820C0A"/>
    <w:rsid w:val="00820D77"/>
    <w:rsid w:val="00820EFE"/>
    <w:rsid w:val="00821418"/>
    <w:rsid w:val="00821678"/>
    <w:rsid w:val="00821791"/>
    <w:rsid w:val="00821A14"/>
    <w:rsid w:val="00821B4F"/>
    <w:rsid w:val="00821EDA"/>
    <w:rsid w:val="00822372"/>
    <w:rsid w:val="008229D0"/>
    <w:rsid w:val="00823712"/>
    <w:rsid w:val="0082383A"/>
    <w:rsid w:val="008238C2"/>
    <w:rsid w:val="00823A3B"/>
    <w:rsid w:val="00823A4D"/>
    <w:rsid w:val="008241AE"/>
    <w:rsid w:val="00824747"/>
    <w:rsid w:val="00824A51"/>
    <w:rsid w:val="0082551C"/>
    <w:rsid w:val="00825862"/>
    <w:rsid w:val="00825B9C"/>
    <w:rsid w:val="00826200"/>
    <w:rsid w:val="008273FA"/>
    <w:rsid w:val="00827504"/>
    <w:rsid w:val="00827A95"/>
    <w:rsid w:val="008303A1"/>
    <w:rsid w:val="008305A2"/>
    <w:rsid w:val="00830834"/>
    <w:rsid w:val="00830973"/>
    <w:rsid w:val="00831033"/>
    <w:rsid w:val="008322BB"/>
    <w:rsid w:val="00833718"/>
    <w:rsid w:val="00834C02"/>
    <w:rsid w:val="00835D7F"/>
    <w:rsid w:val="0083640F"/>
    <w:rsid w:val="00836791"/>
    <w:rsid w:val="008367B3"/>
    <w:rsid w:val="00836AF4"/>
    <w:rsid w:val="00836D08"/>
    <w:rsid w:val="008375F7"/>
    <w:rsid w:val="008376BD"/>
    <w:rsid w:val="00837F01"/>
    <w:rsid w:val="00837F49"/>
    <w:rsid w:val="008402E7"/>
    <w:rsid w:val="00840766"/>
    <w:rsid w:val="00840897"/>
    <w:rsid w:val="00840AA9"/>
    <w:rsid w:val="008411D9"/>
    <w:rsid w:val="00841741"/>
    <w:rsid w:val="0084179A"/>
    <w:rsid w:val="00842021"/>
    <w:rsid w:val="008429CB"/>
    <w:rsid w:val="008429D1"/>
    <w:rsid w:val="0084306F"/>
    <w:rsid w:val="00843426"/>
    <w:rsid w:val="00843C28"/>
    <w:rsid w:val="00844A40"/>
    <w:rsid w:val="00845231"/>
    <w:rsid w:val="0084541B"/>
    <w:rsid w:val="00845819"/>
    <w:rsid w:val="00845F93"/>
    <w:rsid w:val="0084719D"/>
    <w:rsid w:val="008473B0"/>
    <w:rsid w:val="00847537"/>
    <w:rsid w:val="00847F4E"/>
    <w:rsid w:val="008507B5"/>
    <w:rsid w:val="008509B1"/>
    <w:rsid w:val="00850D27"/>
    <w:rsid w:val="00850F41"/>
    <w:rsid w:val="0085173C"/>
    <w:rsid w:val="00851C4B"/>
    <w:rsid w:val="00851D4C"/>
    <w:rsid w:val="008525D4"/>
    <w:rsid w:val="00852DD7"/>
    <w:rsid w:val="00853774"/>
    <w:rsid w:val="00853B64"/>
    <w:rsid w:val="00853D1B"/>
    <w:rsid w:val="00853F99"/>
    <w:rsid w:val="00854A71"/>
    <w:rsid w:val="00855861"/>
    <w:rsid w:val="00855C83"/>
    <w:rsid w:val="0085610F"/>
    <w:rsid w:val="00856425"/>
    <w:rsid w:val="0085716E"/>
    <w:rsid w:val="00860089"/>
    <w:rsid w:val="0086051C"/>
    <w:rsid w:val="00860616"/>
    <w:rsid w:val="00860787"/>
    <w:rsid w:val="00860D38"/>
    <w:rsid w:val="00860EFE"/>
    <w:rsid w:val="00861659"/>
    <w:rsid w:val="00861D07"/>
    <w:rsid w:val="00861EB0"/>
    <w:rsid w:val="00862561"/>
    <w:rsid w:val="00863509"/>
    <w:rsid w:val="0086373C"/>
    <w:rsid w:val="00863FE2"/>
    <w:rsid w:val="008642C8"/>
    <w:rsid w:val="008647AB"/>
    <w:rsid w:val="00865083"/>
    <w:rsid w:val="008666D4"/>
    <w:rsid w:val="00866DBD"/>
    <w:rsid w:val="00867BE4"/>
    <w:rsid w:val="00867D09"/>
    <w:rsid w:val="00870146"/>
    <w:rsid w:val="00870CB0"/>
    <w:rsid w:val="00871096"/>
    <w:rsid w:val="00871ADD"/>
    <w:rsid w:val="00872E1F"/>
    <w:rsid w:val="00873609"/>
    <w:rsid w:val="008736CD"/>
    <w:rsid w:val="00873AE3"/>
    <w:rsid w:val="0087408E"/>
    <w:rsid w:val="00874B40"/>
    <w:rsid w:val="00874F45"/>
    <w:rsid w:val="00875544"/>
    <w:rsid w:val="0087564C"/>
    <w:rsid w:val="00876938"/>
    <w:rsid w:val="00876C91"/>
    <w:rsid w:val="00876D73"/>
    <w:rsid w:val="00876F68"/>
    <w:rsid w:val="00876FCD"/>
    <w:rsid w:val="0087729F"/>
    <w:rsid w:val="00877664"/>
    <w:rsid w:val="00877BB3"/>
    <w:rsid w:val="00877DD1"/>
    <w:rsid w:val="008806EE"/>
    <w:rsid w:val="0088081E"/>
    <w:rsid w:val="0088135B"/>
    <w:rsid w:val="00881566"/>
    <w:rsid w:val="00881E46"/>
    <w:rsid w:val="00882D5F"/>
    <w:rsid w:val="008835B2"/>
    <w:rsid w:val="00883AB4"/>
    <w:rsid w:val="008843D8"/>
    <w:rsid w:val="00885A05"/>
    <w:rsid w:val="0088629D"/>
    <w:rsid w:val="00887325"/>
    <w:rsid w:val="00890025"/>
    <w:rsid w:val="008902D6"/>
    <w:rsid w:val="00890675"/>
    <w:rsid w:val="00891926"/>
    <w:rsid w:val="00891D94"/>
    <w:rsid w:val="00891E3E"/>
    <w:rsid w:val="00892792"/>
    <w:rsid w:val="00892875"/>
    <w:rsid w:val="00892919"/>
    <w:rsid w:val="00892B3D"/>
    <w:rsid w:val="00892D05"/>
    <w:rsid w:val="0089314C"/>
    <w:rsid w:val="00893229"/>
    <w:rsid w:val="00893439"/>
    <w:rsid w:val="0089454B"/>
    <w:rsid w:val="00895151"/>
    <w:rsid w:val="008955D5"/>
    <w:rsid w:val="00895C8B"/>
    <w:rsid w:val="008969C4"/>
    <w:rsid w:val="008A0CC6"/>
    <w:rsid w:val="008A2585"/>
    <w:rsid w:val="008A2862"/>
    <w:rsid w:val="008A2ABF"/>
    <w:rsid w:val="008A2E39"/>
    <w:rsid w:val="008A3C5C"/>
    <w:rsid w:val="008A40A3"/>
    <w:rsid w:val="008A43D5"/>
    <w:rsid w:val="008A4C16"/>
    <w:rsid w:val="008A5175"/>
    <w:rsid w:val="008A5B78"/>
    <w:rsid w:val="008A608A"/>
    <w:rsid w:val="008A6693"/>
    <w:rsid w:val="008A66A0"/>
    <w:rsid w:val="008A68B9"/>
    <w:rsid w:val="008A712E"/>
    <w:rsid w:val="008A7392"/>
    <w:rsid w:val="008A76FB"/>
    <w:rsid w:val="008B0708"/>
    <w:rsid w:val="008B135D"/>
    <w:rsid w:val="008B1979"/>
    <w:rsid w:val="008B29CF"/>
    <w:rsid w:val="008B2BEB"/>
    <w:rsid w:val="008B3825"/>
    <w:rsid w:val="008B4353"/>
    <w:rsid w:val="008B473E"/>
    <w:rsid w:val="008B4AA7"/>
    <w:rsid w:val="008B4BCB"/>
    <w:rsid w:val="008B4D5A"/>
    <w:rsid w:val="008B5778"/>
    <w:rsid w:val="008B5C1D"/>
    <w:rsid w:val="008B5D5F"/>
    <w:rsid w:val="008B66C1"/>
    <w:rsid w:val="008B69AA"/>
    <w:rsid w:val="008B6C2B"/>
    <w:rsid w:val="008B7127"/>
    <w:rsid w:val="008B79C0"/>
    <w:rsid w:val="008B7EA2"/>
    <w:rsid w:val="008C01CB"/>
    <w:rsid w:val="008C0451"/>
    <w:rsid w:val="008C0FC3"/>
    <w:rsid w:val="008C1728"/>
    <w:rsid w:val="008C19D7"/>
    <w:rsid w:val="008C1EFC"/>
    <w:rsid w:val="008C2B58"/>
    <w:rsid w:val="008C2F02"/>
    <w:rsid w:val="008C3DBF"/>
    <w:rsid w:val="008C3EF9"/>
    <w:rsid w:val="008C457D"/>
    <w:rsid w:val="008C4831"/>
    <w:rsid w:val="008C58AF"/>
    <w:rsid w:val="008C5C66"/>
    <w:rsid w:val="008C6266"/>
    <w:rsid w:val="008C681A"/>
    <w:rsid w:val="008C6AD0"/>
    <w:rsid w:val="008C76F7"/>
    <w:rsid w:val="008D0856"/>
    <w:rsid w:val="008D123F"/>
    <w:rsid w:val="008D137E"/>
    <w:rsid w:val="008D1B6A"/>
    <w:rsid w:val="008D1DC7"/>
    <w:rsid w:val="008D1EF3"/>
    <w:rsid w:val="008D1FBC"/>
    <w:rsid w:val="008D317C"/>
    <w:rsid w:val="008D329E"/>
    <w:rsid w:val="008D3EC9"/>
    <w:rsid w:val="008D4FD7"/>
    <w:rsid w:val="008D5378"/>
    <w:rsid w:val="008D556C"/>
    <w:rsid w:val="008D62B8"/>
    <w:rsid w:val="008D6352"/>
    <w:rsid w:val="008D6477"/>
    <w:rsid w:val="008D66D8"/>
    <w:rsid w:val="008D7845"/>
    <w:rsid w:val="008E0484"/>
    <w:rsid w:val="008E07EC"/>
    <w:rsid w:val="008E0939"/>
    <w:rsid w:val="008E12B2"/>
    <w:rsid w:val="008E136C"/>
    <w:rsid w:val="008E1C17"/>
    <w:rsid w:val="008E20E2"/>
    <w:rsid w:val="008E26D0"/>
    <w:rsid w:val="008E2798"/>
    <w:rsid w:val="008E288E"/>
    <w:rsid w:val="008E2DD1"/>
    <w:rsid w:val="008E2F5E"/>
    <w:rsid w:val="008E318B"/>
    <w:rsid w:val="008E3FE6"/>
    <w:rsid w:val="008E4B06"/>
    <w:rsid w:val="008E4FB7"/>
    <w:rsid w:val="008E5C4B"/>
    <w:rsid w:val="008E5E60"/>
    <w:rsid w:val="008E5ED5"/>
    <w:rsid w:val="008E5FCF"/>
    <w:rsid w:val="008E6710"/>
    <w:rsid w:val="008E6C31"/>
    <w:rsid w:val="008E7FAE"/>
    <w:rsid w:val="008F100E"/>
    <w:rsid w:val="008F1C1E"/>
    <w:rsid w:val="008F1EAA"/>
    <w:rsid w:val="008F1FF5"/>
    <w:rsid w:val="008F2453"/>
    <w:rsid w:val="008F25DF"/>
    <w:rsid w:val="008F3998"/>
    <w:rsid w:val="008F3EC2"/>
    <w:rsid w:val="008F4007"/>
    <w:rsid w:val="008F4243"/>
    <w:rsid w:val="008F445E"/>
    <w:rsid w:val="008F46EF"/>
    <w:rsid w:val="008F48E4"/>
    <w:rsid w:val="008F6380"/>
    <w:rsid w:val="008F683A"/>
    <w:rsid w:val="008F683E"/>
    <w:rsid w:val="008F6B88"/>
    <w:rsid w:val="008F718D"/>
    <w:rsid w:val="008F7537"/>
    <w:rsid w:val="008F7D31"/>
    <w:rsid w:val="009000B0"/>
    <w:rsid w:val="00900275"/>
    <w:rsid w:val="009002BD"/>
    <w:rsid w:val="00900957"/>
    <w:rsid w:val="00900991"/>
    <w:rsid w:val="00900AAB"/>
    <w:rsid w:val="009010B8"/>
    <w:rsid w:val="009017BA"/>
    <w:rsid w:val="00901830"/>
    <w:rsid w:val="00901882"/>
    <w:rsid w:val="0090189F"/>
    <w:rsid w:val="009021AC"/>
    <w:rsid w:val="00902811"/>
    <w:rsid w:val="00902B9D"/>
    <w:rsid w:val="00902D29"/>
    <w:rsid w:val="0090495F"/>
    <w:rsid w:val="0090512B"/>
    <w:rsid w:val="0090523E"/>
    <w:rsid w:val="009052E6"/>
    <w:rsid w:val="00905839"/>
    <w:rsid w:val="00906392"/>
    <w:rsid w:val="0090655E"/>
    <w:rsid w:val="00907008"/>
    <w:rsid w:val="009072B3"/>
    <w:rsid w:val="0090741B"/>
    <w:rsid w:val="009100E4"/>
    <w:rsid w:val="00910282"/>
    <w:rsid w:val="0091055D"/>
    <w:rsid w:val="00911BC0"/>
    <w:rsid w:val="00912068"/>
    <w:rsid w:val="009126B9"/>
    <w:rsid w:val="00912943"/>
    <w:rsid w:val="0091294C"/>
    <w:rsid w:val="00914355"/>
    <w:rsid w:val="00914A8E"/>
    <w:rsid w:val="00914C0E"/>
    <w:rsid w:val="00915264"/>
    <w:rsid w:val="00915800"/>
    <w:rsid w:val="0091582C"/>
    <w:rsid w:val="0091596C"/>
    <w:rsid w:val="00915A6F"/>
    <w:rsid w:val="00915FB8"/>
    <w:rsid w:val="009168AF"/>
    <w:rsid w:val="00916A67"/>
    <w:rsid w:val="009172B0"/>
    <w:rsid w:val="00917C7D"/>
    <w:rsid w:val="00917DD3"/>
    <w:rsid w:val="00920507"/>
    <w:rsid w:val="00920783"/>
    <w:rsid w:val="00920A35"/>
    <w:rsid w:val="00920C56"/>
    <w:rsid w:val="0092145F"/>
    <w:rsid w:val="00921483"/>
    <w:rsid w:val="009215DA"/>
    <w:rsid w:val="0092172B"/>
    <w:rsid w:val="00921B29"/>
    <w:rsid w:val="00921BC7"/>
    <w:rsid w:val="00922ECF"/>
    <w:rsid w:val="00922FDA"/>
    <w:rsid w:val="009230AE"/>
    <w:rsid w:val="00924194"/>
    <w:rsid w:val="00924828"/>
    <w:rsid w:val="0092511F"/>
    <w:rsid w:val="00925170"/>
    <w:rsid w:val="00925C25"/>
    <w:rsid w:val="00925C63"/>
    <w:rsid w:val="00926116"/>
    <w:rsid w:val="00926225"/>
    <w:rsid w:val="00926C4F"/>
    <w:rsid w:val="00927504"/>
    <w:rsid w:val="009275B3"/>
    <w:rsid w:val="00927AFD"/>
    <w:rsid w:val="009300EC"/>
    <w:rsid w:val="00930C00"/>
    <w:rsid w:val="009315A0"/>
    <w:rsid w:val="009315A2"/>
    <w:rsid w:val="009315FA"/>
    <w:rsid w:val="0093166F"/>
    <w:rsid w:val="00931A52"/>
    <w:rsid w:val="00931CE1"/>
    <w:rsid w:val="00931D56"/>
    <w:rsid w:val="00932C50"/>
    <w:rsid w:val="00932C79"/>
    <w:rsid w:val="00932D98"/>
    <w:rsid w:val="009334E5"/>
    <w:rsid w:val="00933C3A"/>
    <w:rsid w:val="00933C9D"/>
    <w:rsid w:val="00933D9E"/>
    <w:rsid w:val="00934203"/>
    <w:rsid w:val="0093461A"/>
    <w:rsid w:val="00935074"/>
    <w:rsid w:val="0093507A"/>
    <w:rsid w:val="009357DF"/>
    <w:rsid w:val="009360EC"/>
    <w:rsid w:val="009362F0"/>
    <w:rsid w:val="00937205"/>
    <w:rsid w:val="00937D58"/>
    <w:rsid w:val="00940039"/>
    <w:rsid w:val="00941795"/>
    <w:rsid w:val="00942523"/>
    <w:rsid w:val="00942FB5"/>
    <w:rsid w:val="00943035"/>
    <w:rsid w:val="00943A09"/>
    <w:rsid w:val="00945134"/>
    <w:rsid w:val="00945473"/>
    <w:rsid w:val="00946602"/>
    <w:rsid w:val="00946B6D"/>
    <w:rsid w:val="009471F7"/>
    <w:rsid w:val="009475ED"/>
    <w:rsid w:val="00947EB5"/>
    <w:rsid w:val="00947F56"/>
    <w:rsid w:val="00950034"/>
    <w:rsid w:val="0095013C"/>
    <w:rsid w:val="00950846"/>
    <w:rsid w:val="009509D4"/>
    <w:rsid w:val="00950F15"/>
    <w:rsid w:val="00950F5E"/>
    <w:rsid w:val="00951929"/>
    <w:rsid w:val="00951972"/>
    <w:rsid w:val="00951B5D"/>
    <w:rsid w:val="00951D4B"/>
    <w:rsid w:val="00951E4C"/>
    <w:rsid w:val="009524FA"/>
    <w:rsid w:val="00952F28"/>
    <w:rsid w:val="00953D0B"/>
    <w:rsid w:val="00953D6F"/>
    <w:rsid w:val="00954703"/>
    <w:rsid w:val="00954C3F"/>
    <w:rsid w:val="00954E51"/>
    <w:rsid w:val="00955A98"/>
    <w:rsid w:val="009569C9"/>
    <w:rsid w:val="00956A4F"/>
    <w:rsid w:val="00956E92"/>
    <w:rsid w:val="00956F50"/>
    <w:rsid w:val="009576E6"/>
    <w:rsid w:val="00957CF5"/>
    <w:rsid w:val="0096073E"/>
    <w:rsid w:val="00960BBF"/>
    <w:rsid w:val="00960F87"/>
    <w:rsid w:val="00961337"/>
    <w:rsid w:val="009616D9"/>
    <w:rsid w:val="0096181E"/>
    <w:rsid w:val="00961972"/>
    <w:rsid w:val="00961E42"/>
    <w:rsid w:val="00962536"/>
    <w:rsid w:val="0096254B"/>
    <w:rsid w:val="0096286A"/>
    <w:rsid w:val="00962F39"/>
    <w:rsid w:val="00963137"/>
    <w:rsid w:val="009637FF"/>
    <w:rsid w:val="00963C11"/>
    <w:rsid w:val="0096425A"/>
    <w:rsid w:val="0096449E"/>
    <w:rsid w:val="00964D56"/>
    <w:rsid w:val="00966391"/>
    <w:rsid w:val="009665C7"/>
    <w:rsid w:val="00966BB0"/>
    <w:rsid w:val="0096724F"/>
    <w:rsid w:val="00967B72"/>
    <w:rsid w:val="00970B36"/>
    <w:rsid w:val="00970EFB"/>
    <w:rsid w:val="009713EE"/>
    <w:rsid w:val="00971793"/>
    <w:rsid w:val="009718C9"/>
    <w:rsid w:val="009718E8"/>
    <w:rsid w:val="00972215"/>
    <w:rsid w:val="0097237C"/>
    <w:rsid w:val="00972813"/>
    <w:rsid w:val="00972ACC"/>
    <w:rsid w:val="00972B50"/>
    <w:rsid w:val="009732A4"/>
    <w:rsid w:val="009738D6"/>
    <w:rsid w:val="00973C2C"/>
    <w:rsid w:val="009744BF"/>
    <w:rsid w:val="0097474A"/>
    <w:rsid w:val="00974DBC"/>
    <w:rsid w:val="00975A95"/>
    <w:rsid w:val="00975FEC"/>
    <w:rsid w:val="009765FA"/>
    <w:rsid w:val="00976ACB"/>
    <w:rsid w:val="00976BC3"/>
    <w:rsid w:val="00976D98"/>
    <w:rsid w:val="009776CF"/>
    <w:rsid w:val="00977934"/>
    <w:rsid w:val="00981114"/>
    <w:rsid w:val="009817A6"/>
    <w:rsid w:val="00981DF0"/>
    <w:rsid w:val="009823A0"/>
    <w:rsid w:val="009829B0"/>
    <w:rsid w:val="00983744"/>
    <w:rsid w:val="009840E8"/>
    <w:rsid w:val="00984874"/>
    <w:rsid w:val="009848FC"/>
    <w:rsid w:val="00984907"/>
    <w:rsid w:val="00984A59"/>
    <w:rsid w:val="00984CEA"/>
    <w:rsid w:val="00984E6C"/>
    <w:rsid w:val="00985880"/>
    <w:rsid w:val="00985A99"/>
    <w:rsid w:val="009871CC"/>
    <w:rsid w:val="00987985"/>
    <w:rsid w:val="009901C0"/>
    <w:rsid w:val="0099047E"/>
    <w:rsid w:val="009912A0"/>
    <w:rsid w:val="009912DA"/>
    <w:rsid w:val="00991541"/>
    <w:rsid w:val="009915E5"/>
    <w:rsid w:val="00992011"/>
    <w:rsid w:val="00992831"/>
    <w:rsid w:val="00992DEA"/>
    <w:rsid w:val="00992F42"/>
    <w:rsid w:val="00993016"/>
    <w:rsid w:val="009934C5"/>
    <w:rsid w:val="00993599"/>
    <w:rsid w:val="009944E7"/>
    <w:rsid w:val="0099478F"/>
    <w:rsid w:val="00995075"/>
    <w:rsid w:val="00995827"/>
    <w:rsid w:val="00995A82"/>
    <w:rsid w:val="009962FF"/>
    <w:rsid w:val="00997186"/>
    <w:rsid w:val="009973C2"/>
    <w:rsid w:val="00997627"/>
    <w:rsid w:val="00997AE5"/>
    <w:rsid w:val="00997B7F"/>
    <w:rsid w:val="00997BE9"/>
    <w:rsid w:val="00997D68"/>
    <w:rsid w:val="009A030B"/>
    <w:rsid w:val="009A0A8A"/>
    <w:rsid w:val="009A0BE1"/>
    <w:rsid w:val="009A10CF"/>
    <w:rsid w:val="009A11BA"/>
    <w:rsid w:val="009A18D2"/>
    <w:rsid w:val="009A1927"/>
    <w:rsid w:val="009A1B94"/>
    <w:rsid w:val="009A2360"/>
    <w:rsid w:val="009A25D1"/>
    <w:rsid w:val="009A2AA4"/>
    <w:rsid w:val="009A2F05"/>
    <w:rsid w:val="009A3266"/>
    <w:rsid w:val="009A3700"/>
    <w:rsid w:val="009A3C0A"/>
    <w:rsid w:val="009A3C0C"/>
    <w:rsid w:val="009A3C1F"/>
    <w:rsid w:val="009A3DBA"/>
    <w:rsid w:val="009A4287"/>
    <w:rsid w:val="009A4855"/>
    <w:rsid w:val="009A5627"/>
    <w:rsid w:val="009A5D2E"/>
    <w:rsid w:val="009A5DED"/>
    <w:rsid w:val="009A6762"/>
    <w:rsid w:val="009A79A7"/>
    <w:rsid w:val="009B001C"/>
    <w:rsid w:val="009B03AA"/>
    <w:rsid w:val="009B10A4"/>
    <w:rsid w:val="009B15E0"/>
    <w:rsid w:val="009B17FB"/>
    <w:rsid w:val="009B1EC6"/>
    <w:rsid w:val="009B2086"/>
    <w:rsid w:val="009B2480"/>
    <w:rsid w:val="009B2E58"/>
    <w:rsid w:val="009B2F64"/>
    <w:rsid w:val="009B2F89"/>
    <w:rsid w:val="009B35DD"/>
    <w:rsid w:val="009B38F5"/>
    <w:rsid w:val="009B390B"/>
    <w:rsid w:val="009B3E51"/>
    <w:rsid w:val="009B43AB"/>
    <w:rsid w:val="009B4994"/>
    <w:rsid w:val="009B4AB6"/>
    <w:rsid w:val="009B4FAA"/>
    <w:rsid w:val="009B52E3"/>
    <w:rsid w:val="009B5357"/>
    <w:rsid w:val="009B58BB"/>
    <w:rsid w:val="009B58E0"/>
    <w:rsid w:val="009B6467"/>
    <w:rsid w:val="009B665E"/>
    <w:rsid w:val="009B67C1"/>
    <w:rsid w:val="009B6871"/>
    <w:rsid w:val="009B69BF"/>
    <w:rsid w:val="009B69D9"/>
    <w:rsid w:val="009B6E0F"/>
    <w:rsid w:val="009B73EF"/>
    <w:rsid w:val="009B76C5"/>
    <w:rsid w:val="009B7724"/>
    <w:rsid w:val="009B793E"/>
    <w:rsid w:val="009B7949"/>
    <w:rsid w:val="009C01EA"/>
    <w:rsid w:val="009C02CA"/>
    <w:rsid w:val="009C02F1"/>
    <w:rsid w:val="009C0569"/>
    <w:rsid w:val="009C0611"/>
    <w:rsid w:val="009C0F2D"/>
    <w:rsid w:val="009C1B2F"/>
    <w:rsid w:val="009C1F99"/>
    <w:rsid w:val="009C22A8"/>
    <w:rsid w:val="009C277B"/>
    <w:rsid w:val="009C2DC9"/>
    <w:rsid w:val="009C2F8F"/>
    <w:rsid w:val="009C308F"/>
    <w:rsid w:val="009C3AB8"/>
    <w:rsid w:val="009C3E77"/>
    <w:rsid w:val="009C3EFE"/>
    <w:rsid w:val="009C415D"/>
    <w:rsid w:val="009C428C"/>
    <w:rsid w:val="009C4536"/>
    <w:rsid w:val="009C543B"/>
    <w:rsid w:val="009C5918"/>
    <w:rsid w:val="009C5995"/>
    <w:rsid w:val="009C5CD8"/>
    <w:rsid w:val="009C6123"/>
    <w:rsid w:val="009C6F18"/>
    <w:rsid w:val="009C798C"/>
    <w:rsid w:val="009D095C"/>
    <w:rsid w:val="009D0BA8"/>
    <w:rsid w:val="009D2364"/>
    <w:rsid w:val="009D2B98"/>
    <w:rsid w:val="009D2BDB"/>
    <w:rsid w:val="009D403C"/>
    <w:rsid w:val="009D46A5"/>
    <w:rsid w:val="009D48EB"/>
    <w:rsid w:val="009D4BD3"/>
    <w:rsid w:val="009D4F25"/>
    <w:rsid w:val="009D58D3"/>
    <w:rsid w:val="009D5B4F"/>
    <w:rsid w:val="009D6639"/>
    <w:rsid w:val="009D66DA"/>
    <w:rsid w:val="009D6DAA"/>
    <w:rsid w:val="009D7E44"/>
    <w:rsid w:val="009E2109"/>
    <w:rsid w:val="009E244C"/>
    <w:rsid w:val="009E250A"/>
    <w:rsid w:val="009E2670"/>
    <w:rsid w:val="009E3523"/>
    <w:rsid w:val="009E3572"/>
    <w:rsid w:val="009E36C1"/>
    <w:rsid w:val="009E37AF"/>
    <w:rsid w:val="009E38F0"/>
    <w:rsid w:val="009E396F"/>
    <w:rsid w:val="009E3C5D"/>
    <w:rsid w:val="009E3E14"/>
    <w:rsid w:val="009E45CD"/>
    <w:rsid w:val="009E4A96"/>
    <w:rsid w:val="009E4B59"/>
    <w:rsid w:val="009E4D14"/>
    <w:rsid w:val="009E4D6C"/>
    <w:rsid w:val="009E5556"/>
    <w:rsid w:val="009E56D6"/>
    <w:rsid w:val="009E5D51"/>
    <w:rsid w:val="009E65BD"/>
    <w:rsid w:val="009E65FC"/>
    <w:rsid w:val="009E662C"/>
    <w:rsid w:val="009E67E2"/>
    <w:rsid w:val="009E6878"/>
    <w:rsid w:val="009E6D11"/>
    <w:rsid w:val="009E6DD0"/>
    <w:rsid w:val="009E751A"/>
    <w:rsid w:val="009E79B4"/>
    <w:rsid w:val="009E7AD5"/>
    <w:rsid w:val="009F0305"/>
    <w:rsid w:val="009F1091"/>
    <w:rsid w:val="009F1141"/>
    <w:rsid w:val="009F15E2"/>
    <w:rsid w:val="009F166B"/>
    <w:rsid w:val="009F1900"/>
    <w:rsid w:val="009F1F94"/>
    <w:rsid w:val="009F2CAB"/>
    <w:rsid w:val="009F39CB"/>
    <w:rsid w:val="009F4065"/>
    <w:rsid w:val="009F40A3"/>
    <w:rsid w:val="009F5192"/>
    <w:rsid w:val="009F52C1"/>
    <w:rsid w:val="009F5497"/>
    <w:rsid w:val="009F76D9"/>
    <w:rsid w:val="009F7C21"/>
    <w:rsid w:val="009F7F69"/>
    <w:rsid w:val="00A00130"/>
    <w:rsid w:val="00A0068F"/>
    <w:rsid w:val="00A0086B"/>
    <w:rsid w:val="00A00934"/>
    <w:rsid w:val="00A014EC"/>
    <w:rsid w:val="00A01CA3"/>
    <w:rsid w:val="00A020E4"/>
    <w:rsid w:val="00A02283"/>
    <w:rsid w:val="00A023F6"/>
    <w:rsid w:val="00A0275B"/>
    <w:rsid w:val="00A02FF5"/>
    <w:rsid w:val="00A035AC"/>
    <w:rsid w:val="00A041C9"/>
    <w:rsid w:val="00A05D5E"/>
    <w:rsid w:val="00A06174"/>
    <w:rsid w:val="00A06B2F"/>
    <w:rsid w:val="00A06DAA"/>
    <w:rsid w:val="00A06E85"/>
    <w:rsid w:val="00A071B8"/>
    <w:rsid w:val="00A073AD"/>
    <w:rsid w:val="00A0768A"/>
    <w:rsid w:val="00A0792C"/>
    <w:rsid w:val="00A10FE1"/>
    <w:rsid w:val="00A110EF"/>
    <w:rsid w:val="00A11174"/>
    <w:rsid w:val="00A11352"/>
    <w:rsid w:val="00A11EDF"/>
    <w:rsid w:val="00A11F83"/>
    <w:rsid w:val="00A1228C"/>
    <w:rsid w:val="00A12BD1"/>
    <w:rsid w:val="00A12C4C"/>
    <w:rsid w:val="00A12C7A"/>
    <w:rsid w:val="00A12D45"/>
    <w:rsid w:val="00A13011"/>
    <w:rsid w:val="00A13144"/>
    <w:rsid w:val="00A13595"/>
    <w:rsid w:val="00A139FE"/>
    <w:rsid w:val="00A1434A"/>
    <w:rsid w:val="00A14C1C"/>
    <w:rsid w:val="00A1503B"/>
    <w:rsid w:val="00A153B0"/>
    <w:rsid w:val="00A15E81"/>
    <w:rsid w:val="00A160AB"/>
    <w:rsid w:val="00A1612E"/>
    <w:rsid w:val="00A16D74"/>
    <w:rsid w:val="00A16D7B"/>
    <w:rsid w:val="00A17097"/>
    <w:rsid w:val="00A17B16"/>
    <w:rsid w:val="00A20164"/>
    <w:rsid w:val="00A2045C"/>
    <w:rsid w:val="00A20C5D"/>
    <w:rsid w:val="00A20DBE"/>
    <w:rsid w:val="00A214F8"/>
    <w:rsid w:val="00A2299E"/>
    <w:rsid w:val="00A229F0"/>
    <w:rsid w:val="00A23590"/>
    <w:rsid w:val="00A235A1"/>
    <w:rsid w:val="00A23EFE"/>
    <w:rsid w:val="00A24D52"/>
    <w:rsid w:val="00A268AA"/>
    <w:rsid w:val="00A26A5B"/>
    <w:rsid w:val="00A26BD8"/>
    <w:rsid w:val="00A27099"/>
    <w:rsid w:val="00A271BC"/>
    <w:rsid w:val="00A271E5"/>
    <w:rsid w:val="00A301F9"/>
    <w:rsid w:val="00A309F6"/>
    <w:rsid w:val="00A30A03"/>
    <w:rsid w:val="00A31359"/>
    <w:rsid w:val="00A31452"/>
    <w:rsid w:val="00A31FF8"/>
    <w:rsid w:val="00A32325"/>
    <w:rsid w:val="00A32784"/>
    <w:rsid w:val="00A32FA6"/>
    <w:rsid w:val="00A33042"/>
    <w:rsid w:val="00A337BA"/>
    <w:rsid w:val="00A33AA2"/>
    <w:rsid w:val="00A33EF6"/>
    <w:rsid w:val="00A3410F"/>
    <w:rsid w:val="00A3531E"/>
    <w:rsid w:val="00A35D21"/>
    <w:rsid w:val="00A361D6"/>
    <w:rsid w:val="00A36970"/>
    <w:rsid w:val="00A36C40"/>
    <w:rsid w:val="00A378CD"/>
    <w:rsid w:val="00A37FA1"/>
    <w:rsid w:val="00A37FAF"/>
    <w:rsid w:val="00A4036B"/>
    <w:rsid w:val="00A40552"/>
    <w:rsid w:val="00A40A0A"/>
    <w:rsid w:val="00A40AAD"/>
    <w:rsid w:val="00A40B5F"/>
    <w:rsid w:val="00A41136"/>
    <w:rsid w:val="00A4138A"/>
    <w:rsid w:val="00A415EE"/>
    <w:rsid w:val="00A41669"/>
    <w:rsid w:val="00A41886"/>
    <w:rsid w:val="00A418A4"/>
    <w:rsid w:val="00A418AA"/>
    <w:rsid w:val="00A4191D"/>
    <w:rsid w:val="00A425B5"/>
    <w:rsid w:val="00A429DB"/>
    <w:rsid w:val="00A42E44"/>
    <w:rsid w:val="00A43144"/>
    <w:rsid w:val="00A43480"/>
    <w:rsid w:val="00A43561"/>
    <w:rsid w:val="00A43EF7"/>
    <w:rsid w:val="00A4430D"/>
    <w:rsid w:val="00A44359"/>
    <w:rsid w:val="00A44841"/>
    <w:rsid w:val="00A44DA6"/>
    <w:rsid w:val="00A453E7"/>
    <w:rsid w:val="00A45836"/>
    <w:rsid w:val="00A4628B"/>
    <w:rsid w:val="00A465CA"/>
    <w:rsid w:val="00A46697"/>
    <w:rsid w:val="00A4688B"/>
    <w:rsid w:val="00A46919"/>
    <w:rsid w:val="00A46AD7"/>
    <w:rsid w:val="00A46B0F"/>
    <w:rsid w:val="00A476D0"/>
    <w:rsid w:val="00A4781F"/>
    <w:rsid w:val="00A47B7E"/>
    <w:rsid w:val="00A50465"/>
    <w:rsid w:val="00A519CB"/>
    <w:rsid w:val="00A51B33"/>
    <w:rsid w:val="00A51EC2"/>
    <w:rsid w:val="00A52398"/>
    <w:rsid w:val="00A527FB"/>
    <w:rsid w:val="00A52944"/>
    <w:rsid w:val="00A53083"/>
    <w:rsid w:val="00A536CB"/>
    <w:rsid w:val="00A536EA"/>
    <w:rsid w:val="00A53CCA"/>
    <w:rsid w:val="00A5412B"/>
    <w:rsid w:val="00A55088"/>
    <w:rsid w:val="00A55383"/>
    <w:rsid w:val="00A553BC"/>
    <w:rsid w:val="00A553E1"/>
    <w:rsid w:val="00A554E6"/>
    <w:rsid w:val="00A55963"/>
    <w:rsid w:val="00A568F9"/>
    <w:rsid w:val="00A569BB"/>
    <w:rsid w:val="00A5701C"/>
    <w:rsid w:val="00A57020"/>
    <w:rsid w:val="00A57C3D"/>
    <w:rsid w:val="00A57F1E"/>
    <w:rsid w:val="00A600D6"/>
    <w:rsid w:val="00A60CC2"/>
    <w:rsid w:val="00A616F7"/>
    <w:rsid w:val="00A61A78"/>
    <w:rsid w:val="00A62460"/>
    <w:rsid w:val="00A62F05"/>
    <w:rsid w:val="00A635CF"/>
    <w:rsid w:val="00A6371C"/>
    <w:rsid w:val="00A638DF"/>
    <w:rsid w:val="00A639A7"/>
    <w:rsid w:val="00A63B57"/>
    <w:rsid w:val="00A63E47"/>
    <w:rsid w:val="00A63FD5"/>
    <w:rsid w:val="00A63FF4"/>
    <w:rsid w:val="00A6599C"/>
    <w:rsid w:val="00A65D4A"/>
    <w:rsid w:val="00A670BC"/>
    <w:rsid w:val="00A671BE"/>
    <w:rsid w:val="00A6769D"/>
    <w:rsid w:val="00A6796F"/>
    <w:rsid w:val="00A67FAD"/>
    <w:rsid w:val="00A7012F"/>
    <w:rsid w:val="00A70858"/>
    <w:rsid w:val="00A7180D"/>
    <w:rsid w:val="00A71B3A"/>
    <w:rsid w:val="00A72601"/>
    <w:rsid w:val="00A72D37"/>
    <w:rsid w:val="00A730A5"/>
    <w:rsid w:val="00A734FB"/>
    <w:rsid w:val="00A73E22"/>
    <w:rsid w:val="00A74525"/>
    <w:rsid w:val="00A74786"/>
    <w:rsid w:val="00A747B4"/>
    <w:rsid w:val="00A7486D"/>
    <w:rsid w:val="00A756D7"/>
    <w:rsid w:val="00A75A61"/>
    <w:rsid w:val="00A760F1"/>
    <w:rsid w:val="00A766FA"/>
    <w:rsid w:val="00A7702B"/>
    <w:rsid w:val="00A7717F"/>
    <w:rsid w:val="00A772D9"/>
    <w:rsid w:val="00A77448"/>
    <w:rsid w:val="00A7768C"/>
    <w:rsid w:val="00A776D4"/>
    <w:rsid w:val="00A77ABB"/>
    <w:rsid w:val="00A805DA"/>
    <w:rsid w:val="00A80759"/>
    <w:rsid w:val="00A80C38"/>
    <w:rsid w:val="00A81778"/>
    <w:rsid w:val="00A81FBE"/>
    <w:rsid w:val="00A82688"/>
    <w:rsid w:val="00A83C53"/>
    <w:rsid w:val="00A83FD9"/>
    <w:rsid w:val="00A845B1"/>
    <w:rsid w:val="00A85BD3"/>
    <w:rsid w:val="00A85FD6"/>
    <w:rsid w:val="00A86DC9"/>
    <w:rsid w:val="00A870D5"/>
    <w:rsid w:val="00A87808"/>
    <w:rsid w:val="00A87B34"/>
    <w:rsid w:val="00A909F1"/>
    <w:rsid w:val="00A91584"/>
    <w:rsid w:val="00A91B12"/>
    <w:rsid w:val="00A91BF4"/>
    <w:rsid w:val="00A926E1"/>
    <w:rsid w:val="00A927D9"/>
    <w:rsid w:val="00A933F7"/>
    <w:rsid w:val="00A938BC"/>
    <w:rsid w:val="00A94AAD"/>
    <w:rsid w:val="00A94B13"/>
    <w:rsid w:val="00A95494"/>
    <w:rsid w:val="00A954CB"/>
    <w:rsid w:val="00A95599"/>
    <w:rsid w:val="00A9582B"/>
    <w:rsid w:val="00A95E32"/>
    <w:rsid w:val="00A960DE"/>
    <w:rsid w:val="00A967C3"/>
    <w:rsid w:val="00A96E5A"/>
    <w:rsid w:val="00A977E8"/>
    <w:rsid w:val="00A97BF6"/>
    <w:rsid w:val="00AA021B"/>
    <w:rsid w:val="00AA079C"/>
    <w:rsid w:val="00AA0ECD"/>
    <w:rsid w:val="00AA1423"/>
    <w:rsid w:val="00AA1B6B"/>
    <w:rsid w:val="00AA1E04"/>
    <w:rsid w:val="00AA27BC"/>
    <w:rsid w:val="00AA2909"/>
    <w:rsid w:val="00AA3496"/>
    <w:rsid w:val="00AA37CC"/>
    <w:rsid w:val="00AA3FF7"/>
    <w:rsid w:val="00AA4D2E"/>
    <w:rsid w:val="00AA50F6"/>
    <w:rsid w:val="00AA53DC"/>
    <w:rsid w:val="00AA570D"/>
    <w:rsid w:val="00AA5758"/>
    <w:rsid w:val="00AA5FAA"/>
    <w:rsid w:val="00AA62AC"/>
    <w:rsid w:val="00AA66E1"/>
    <w:rsid w:val="00AA74B7"/>
    <w:rsid w:val="00AA773E"/>
    <w:rsid w:val="00AA7D3A"/>
    <w:rsid w:val="00AB06C4"/>
    <w:rsid w:val="00AB0B51"/>
    <w:rsid w:val="00AB0D15"/>
    <w:rsid w:val="00AB0DAA"/>
    <w:rsid w:val="00AB0FA9"/>
    <w:rsid w:val="00AB1186"/>
    <w:rsid w:val="00AB157D"/>
    <w:rsid w:val="00AB1DDF"/>
    <w:rsid w:val="00AB2F9F"/>
    <w:rsid w:val="00AB3086"/>
    <w:rsid w:val="00AB4380"/>
    <w:rsid w:val="00AB474C"/>
    <w:rsid w:val="00AB4A14"/>
    <w:rsid w:val="00AB4AA8"/>
    <w:rsid w:val="00AB5462"/>
    <w:rsid w:val="00AB58CC"/>
    <w:rsid w:val="00AB5A87"/>
    <w:rsid w:val="00AB5C35"/>
    <w:rsid w:val="00AB5C4A"/>
    <w:rsid w:val="00AB6164"/>
    <w:rsid w:val="00AB645A"/>
    <w:rsid w:val="00AB6B99"/>
    <w:rsid w:val="00AB6FB2"/>
    <w:rsid w:val="00AB7538"/>
    <w:rsid w:val="00AB7577"/>
    <w:rsid w:val="00AB762B"/>
    <w:rsid w:val="00AB76B4"/>
    <w:rsid w:val="00AB78B5"/>
    <w:rsid w:val="00AC022B"/>
    <w:rsid w:val="00AC06DF"/>
    <w:rsid w:val="00AC1E56"/>
    <w:rsid w:val="00AC25D5"/>
    <w:rsid w:val="00AC3124"/>
    <w:rsid w:val="00AC316A"/>
    <w:rsid w:val="00AC3407"/>
    <w:rsid w:val="00AC3493"/>
    <w:rsid w:val="00AC48C2"/>
    <w:rsid w:val="00AC4A59"/>
    <w:rsid w:val="00AC51E1"/>
    <w:rsid w:val="00AC5203"/>
    <w:rsid w:val="00AC552B"/>
    <w:rsid w:val="00AC5B8B"/>
    <w:rsid w:val="00AC6504"/>
    <w:rsid w:val="00AC682A"/>
    <w:rsid w:val="00AC6C68"/>
    <w:rsid w:val="00AC6E63"/>
    <w:rsid w:val="00AC7C99"/>
    <w:rsid w:val="00AC7D7D"/>
    <w:rsid w:val="00AD0046"/>
    <w:rsid w:val="00AD0094"/>
    <w:rsid w:val="00AD06FA"/>
    <w:rsid w:val="00AD1EC3"/>
    <w:rsid w:val="00AD3953"/>
    <w:rsid w:val="00AD3956"/>
    <w:rsid w:val="00AD3A5C"/>
    <w:rsid w:val="00AD3B46"/>
    <w:rsid w:val="00AD3C91"/>
    <w:rsid w:val="00AD4369"/>
    <w:rsid w:val="00AD4D7B"/>
    <w:rsid w:val="00AD540B"/>
    <w:rsid w:val="00AD578E"/>
    <w:rsid w:val="00AD60EF"/>
    <w:rsid w:val="00AD62D0"/>
    <w:rsid w:val="00AD65B7"/>
    <w:rsid w:val="00AD69CA"/>
    <w:rsid w:val="00AD6B4D"/>
    <w:rsid w:val="00AD6BAC"/>
    <w:rsid w:val="00AD6D4D"/>
    <w:rsid w:val="00AD6DC1"/>
    <w:rsid w:val="00AD6FBA"/>
    <w:rsid w:val="00AD744F"/>
    <w:rsid w:val="00AD76A1"/>
    <w:rsid w:val="00AD792D"/>
    <w:rsid w:val="00AD7BAB"/>
    <w:rsid w:val="00AD7F43"/>
    <w:rsid w:val="00AE06D3"/>
    <w:rsid w:val="00AE0D45"/>
    <w:rsid w:val="00AE143F"/>
    <w:rsid w:val="00AE14A5"/>
    <w:rsid w:val="00AE1BFE"/>
    <w:rsid w:val="00AE1D60"/>
    <w:rsid w:val="00AE23E2"/>
    <w:rsid w:val="00AE24FC"/>
    <w:rsid w:val="00AE2A51"/>
    <w:rsid w:val="00AE3026"/>
    <w:rsid w:val="00AE329F"/>
    <w:rsid w:val="00AE3D5B"/>
    <w:rsid w:val="00AE4132"/>
    <w:rsid w:val="00AE42C0"/>
    <w:rsid w:val="00AE42E0"/>
    <w:rsid w:val="00AE4394"/>
    <w:rsid w:val="00AE4526"/>
    <w:rsid w:val="00AE49F2"/>
    <w:rsid w:val="00AE5107"/>
    <w:rsid w:val="00AE5797"/>
    <w:rsid w:val="00AE5A39"/>
    <w:rsid w:val="00AE73ED"/>
    <w:rsid w:val="00AE7651"/>
    <w:rsid w:val="00AF007E"/>
    <w:rsid w:val="00AF03D7"/>
    <w:rsid w:val="00AF0A92"/>
    <w:rsid w:val="00AF1796"/>
    <w:rsid w:val="00AF1B0F"/>
    <w:rsid w:val="00AF1BEB"/>
    <w:rsid w:val="00AF1C41"/>
    <w:rsid w:val="00AF289D"/>
    <w:rsid w:val="00AF3056"/>
    <w:rsid w:val="00AF31B3"/>
    <w:rsid w:val="00AF324E"/>
    <w:rsid w:val="00AF3490"/>
    <w:rsid w:val="00AF47AE"/>
    <w:rsid w:val="00AF4EE7"/>
    <w:rsid w:val="00AF4FE7"/>
    <w:rsid w:val="00AF5D1F"/>
    <w:rsid w:val="00AF6A73"/>
    <w:rsid w:val="00AF7128"/>
    <w:rsid w:val="00AF727F"/>
    <w:rsid w:val="00AF74E8"/>
    <w:rsid w:val="00AF7BD2"/>
    <w:rsid w:val="00AF7F88"/>
    <w:rsid w:val="00B00E4E"/>
    <w:rsid w:val="00B0160D"/>
    <w:rsid w:val="00B017BA"/>
    <w:rsid w:val="00B0195B"/>
    <w:rsid w:val="00B02C84"/>
    <w:rsid w:val="00B03035"/>
    <w:rsid w:val="00B03195"/>
    <w:rsid w:val="00B0378B"/>
    <w:rsid w:val="00B03E60"/>
    <w:rsid w:val="00B0439A"/>
    <w:rsid w:val="00B04D49"/>
    <w:rsid w:val="00B05238"/>
    <w:rsid w:val="00B05440"/>
    <w:rsid w:val="00B05510"/>
    <w:rsid w:val="00B05B7D"/>
    <w:rsid w:val="00B06463"/>
    <w:rsid w:val="00B068D9"/>
    <w:rsid w:val="00B071ED"/>
    <w:rsid w:val="00B07A94"/>
    <w:rsid w:val="00B1009E"/>
    <w:rsid w:val="00B10C22"/>
    <w:rsid w:val="00B1139F"/>
    <w:rsid w:val="00B1149A"/>
    <w:rsid w:val="00B12565"/>
    <w:rsid w:val="00B12EF5"/>
    <w:rsid w:val="00B12F50"/>
    <w:rsid w:val="00B12F88"/>
    <w:rsid w:val="00B1319C"/>
    <w:rsid w:val="00B13EE6"/>
    <w:rsid w:val="00B14A80"/>
    <w:rsid w:val="00B14BF5"/>
    <w:rsid w:val="00B14C15"/>
    <w:rsid w:val="00B15242"/>
    <w:rsid w:val="00B15343"/>
    <w:rsid w:val="00B156ED"/>
    <w:rsid w:val="00B15738"/>
    <w:rsid w:val="00B15AF6"/>
    <w:rsid w:val="00B1631B"/>
    <w:rsid w:val="00B17207"/>
    <w:rsid w:val="00B17757"/>
    <w:rsid w:val="00B17AFD"/>
    <w:rsid w:val="00B17CF8"/>
    <w:rsid w:val="00B20692"/>
    <w:rsid w:val="00B211BF"/>
    <w:rsid w:val="00B21CDF"/>
    <w:rsid w:val="00B224EE"/>
    <w:rsid w:val="00B226B3"/>
    <w:rsid w:val="00B234D0"/>
    <w:rsid w:val="00B23849"/>
    <w:rsid w:val="00B23C2F"/>
    <w:rsid w:val="00B2576A"/>
    <w:rsid w:val="00B25C26"/>
    <w:rsid w:val="00B25E03"/>
    <w:rsid w:val="00B265CE"/>
    <w:rsid w:val="00B26772"/>
    <w:rsid w:val="00B267F8"/>
    <w:rsid w:val="00B26B6F"/>
    <w:rsid w:val="00B27D70"/>
    <w:rsid w:val="00B304FF"/>
    <w:rsid w:val="00B309D6"/>
    <w:rsid w:val="00B30ACA"/>
    <w:rsid w:val="00B30C1D"/>
    <w:rsid w:val="00B3111E"/>
    <w:rsid w:val="00B31948"/>
    <w:rsid w:val="00B32291"/>
    <w:rsid w:val="00B327CC"/>
    <w:rsid w:val="00B32A22"/>
    <w:rsid w:val="00B32E6F"/>
    <w:rsid w:val="00B33531"/>
    <w:rsid w:val="00B336C9"/>
    <w:rsid w:val="00B33828"/>
    <w:rsid w:val="00B34753"/>
    <w:rsid w:val="00B34939"/>
    <w:rsid w:val="00B34AC9"/>
    <w:rsid w:val="00B34E20"/>
    <w:rsid w:val="00B35010"/>
    <w:rsid w:val="00B3531C"/>
    <w:rsid w:val="00B354DD"/>
    <w:rsid w:val="00B35629"/>
    <w:rsid w:val="00B3581E"/>
    <w:rsid w:val="00B35A81"/>
    <w:rsid w:val="00B3629D"/>
    <w:rsid w:val="00B36E4E"/>
    <w:rsid w:val="00B36F73"/>
    <w:rsid w:val="00B37693"/>
    <w:rsid w:val="00B37BC8"/>
    <w:rsid w:val="00B403C8"/>
    <w:rsid w:val="00B405C6"/>
    <w:rsid w:val="00B40992"/>
    <w:rsid w:val="00B412D9"/>
    <w:rsid w:val="00B41465"/>
    <w:rsid w:val="00B41997"/>
    <w:rsid w:val="00B4251F"/>
    <w:rsid w:val="00B427F1"/>
    <w:rsid w:val="00B4323B"/>
    <w:rsid w:val="00B4345D"/>
    <w:rsid w:val="00B440E6"/>
    <w:rsid w:val="00B4433B"/>
    <w:rsid w:val="00B4450B"/>
    <w:rsid w:val="00B4478C"/>
    <w:rsid w:val="00B447D0"/>
    <w:rsid w:val="00B44A70"/>
    <w:rsid w:val="00B44E08"/>
    <w:rsid w:val="00B44EAD"/>
    <w:rsid w:val="00B45432"/>
    <w:rsid w:val="00B46228"/>
    <w:rsid w:val="00B46510"/>
    <w:rsid w:val="00B4666C"/>
    <w:rsid w:val="00B46B52"/>
    <w:rsid w:val="00B47EF6"/>
    <w:rsid w:val="00B47FAB"/>
    <w:rsid w:val="00B5038B"/>
    <w:rsid w:val="00B5080D"/>
    <w:rsid w:val="00B50C03"/>
    <w:rsid w:val="00B516F7"/>
    <w:rsid w:val="00B51721"/>
    <w:rsid w:val="00B5215E"/>
    <w:rsid w:val="00B5246E"/>
    <w:rsid w:val="00B52879"/>
    <w:rsid w:val="00B52D53"/>
    <w:rsid w:val="00B53C36"/>
    <w:rsid w:val="00B53D60"/>
    <w:rsid w:val="00B54425"/>
    <w:rsid w:val="00B549EF"/>
    <w:rsid w:val="00B54D31"/>
    <w:rsid w:val="00B5511B"/>
    <w:rsid w:val="00B556DF"/>
    <w:rsid w:val="00B55A53"/>
    <w:rsid w:val="00B55BC6"/>
    <w:rsid w:val="00B56323"/>
    <w:rsid w:val="00B56A41"/>
    <w:rsid w:val="00B56F58"/>
    <w:rsid w:val="00B5742B"/>
    <w:rsid w:val="00B5744B"/>
    <w:rsid w:val="00B5758B"/>
    <w:rsid w:val="00B57918"/>
    <w:rsid w:val="00B5799F"/>
    <w:rsid w:val="00B60B5C"/>
    <w:rsid w:val="00B61086"/>
    <w:rsid w:val="00B61136"/>
    <w:rsid w:val="00B6145C"/>
    <w:rsid w:val="00B617DC"/>
    <w:rsid w:val="00B6273D"/>
    <w:rsid w:val="00B62821"/>
    <w:rsid w:val="00B62B3D"/>
    <w:rsid w:val="00B62FF1"/>
    <w:rsid w:val="00B6307C"/>
    <w:rsid w:val="00B638D6"/>
    <w:rsid w:val="00B64636"/>
    <w:rsid w:val="00B6493B"/>
    <w:rsid w:val="00B64966"/>
    <w:rsid w:val="00B6503C"/>
    <w:rsid w:val="00B65081"/>
    <w:rsid w:val="00B65436"/>
    <w:rsid w:val="00B65861"/>
    <w:rsid w:val="00B65C17"/>
    <w:rsid w:val="00B65C88"/>
    <w:rsid w:val="00B65CE0"/>
    <w:rsid w:val="00B65FD4"/>
    <w:rsid w:val="00B66021"/>
    <w:rsid w:val="00B669EA"/>
    <w:rsid w:val="00B67358"/>
    <w:rsid w:val="00B6782C"/>
    <w:rsid w:val="00B67CEE"/>
    <w:rsid w:val="00B700DD"/>
    <w:rsid w:val="00B708F4"/>
    <w:rsid w:val="00B71043"/>
    <w:rsid w:val="00B72A6F"/>
    <w:rsid w:val="00B72CB4"/>
    <w:rsid w:val="00B73118"/>
    <w:rsid w:val="00B737F4"/>
    <w:rsid w:val="00B7380A"/>
    <w:rsid w:val="00B73CC2"/>
    <w:rsid w:val="00B740BF"/>
    <w:rsid w:val="00B7427D"/>
    <w:rsid w:val="00B74E3E"/>
    <w:rsid w:val="00B7509C"/>
    <w:rsid w:val="00B7524B"/>
    <w:rsid w:val="00B754AB"/>
    <w:rsid w:val="00B765AF"/>
    <w:rsid w:val="00B770D8"/>
    <w:rsid w:val="00B77255"/>
    <w:rsid w:val="00B773A8"/>
    <w:rsid w:val="00B773C9"/>
    <w:rsid w:val="00B776F4"/>
    <w:rsid w:val="00B77A65"/>
    <w:rsid w:val="00B77FE3"/>
    <w:rsid w:val="00B809A1"/>
    <w:rsid w:val="00B809D2"/>
    <w:rsid w:val="00B80D60"/>
    <w:rsid w:val="00B81112"/>
    <w:rsid w:val="00B814FA"/>
    <w:rsid w:val="00B81587"/>
    <w:rsid w:val="00B815D8"/>
    <w:rsid w:val="00B81ECE"/>
    <w:rsid w:val="00B82066"/>
    <w:rsid w:val="00B82AFB"/>
    <w:rsid w:val="00B82BE5"/>
    <w:rsid w:val="00B83F43"/>
    <w:rsid w:val="00B8418F"/>
    <w:rsid w:val="00B848F0"/>
    <w:rsid w:val="00B84927"/>
    <w:rsid w:val="00B8493E"/>
    <w:rsid w:val="00B84D22"/>
    <w:rsid w:val="00B84EB6"/>
    <w:rsid w:val="00B8522A"/>
    <w:rsid w:val="00B85469"/>
    <w:rsid w:val="00B85629"/>
    <w:rsid w:val="00B8629D"/>
    <w:rsid w:val="00B8699F"/>
    <w:rsid w:val="00B870C3"/>
    <w:rsid w:val="00B87779"/>
    <w:rsid w:val="00B87B21"/>
    <w:rsid w:val="00B87CFA"/>
    <w:rsid w:val="00B87DD4"/>
    <w:rsid w:val="00B90356"/>
    <w:rsid w:val="00B907DF"/>
    <w:rsid w:val="00B90A4E"/>
    <w:rsid w:val="00B9185E"/>
    <w:rsid w:val="00B9220E"/>
    <w:rsid w:val="00B9263A"/>
    <w:rsid w:val="00B92966"/>
    <w:rsid w:val="00B92A6E"/>
    <w:rsid w:val="00B92DCA"/>
    <w:rsid w:val="00B92F48"/>
    <w:rsid w:val="00B93170"/>
    <w:rsid w:val="00B931E6"/>
    <w:rsid w:val="00B932F2"/>
    <w:rsid w:val="00B93A51"/>
    <w:rsid w:val="00B93CDF"/>
    <w:rsid w:val="00B941BE"/>
    <w:rsid w:val="00B94515"/>
    <w:rsid w:val="00B94545"/>
    <w:rsid w:val="00B94676"/>
    <w:rsid w:val="00B95288"/>
    <w:rsid w:val="00B958E6"/>
    <w:rsid w:val="00B97398"/>
    <w:rsid w:val="00B97782"/>
    <w:rsid w:val="00B97904"/>
    <w:rsid w:val="00B97BA6"/>
    <w:rsid w:val="00B97D20"/>
    <w:rsid w:val="00BA0039"/>
    <w:rsid w:val="00BA01B6"/>
    <w:rsid w:val="00BA14DF"/>
    <w:rsid w:val="00BA1722"/>
    <w:rsid w:val="00BA20D1"/>
    <w:rsid w:val="00BA2321"/>
    <w:rsid w:val="00BA25BC"/>
    <w:rsid w:val="00BA2BF7"/>
    <w:rsid w:val="00BA2E55"/>
    <w:rsid w:val="00BA32AC"/>
    <w:rsid w:val="00BA3E1D"/>
    <w:rsid w:val="00BA411E"/>
    <w:rsid w:val="00BA4340"/>
    <w:rsid w:val="00BA4E34"/>
    <w:rsid w:val="00BA55D8"/>
    <w:rsid w:val="00BA592C"/>
    <w:rsid w:val="00BA5E3C"/>
    <w:rsid w:val="00BA626D"/>
    <w:rsid w:val="00BA6D1A"/>
    <w:rsid w:val="00BA76EF"/>
    <w:rsid w:val="00BA7B6B"/>
    <w:rsid w:val="00BA7D77"/>
    <w:rsid w:val="00BA7E6E"/>
    <w:rsid w:val="00BB05B8"/>
    <w:rsid w:val="00BB1054"/>
    <w:rsid w:val="00BB145E"/>
    <w:rsid w:val="00BB15BE"/>
    <w:rsid w:val="00BB17F0"/>
    <w:rsid w:val="00BB19D6"/>
    <w:rsid w:val="00BB2123"/>
    <w:rsid w:val="00BB2C0E"/>
    <w:rsid w:val="00BB3419"/>
    <w:rsid w:val="00BB4487"/>
    <w:rsid w:val="00BB47A2"/>
    <w:rsid w:val="00BB5776"/>
    <w:rsid w:val="00BB5EC5"/>
    <w:rsid w:val="00BB5F23"/>
    <w:rsid w:val="00BB6024"/>
    <w:rsid w:val="00BB607B"/>
    <w:rsid w:val="00BB6807"/>
    <w:rsid w:val="00BB68B5"/>
    <w:rsid w:val="00BB6C6D"/>
    <w:rsid w:val="00BB6FC7"/>
    <w:rsid w:val="00BB751C"/>
    <w:rsid w:val="00BB7634"/>
    <w:rsid w:val="00BB7C92"/>
    <w:rsid w:val="00BB7D19"/>
    <w:rsid w:val="00BB7D22"/>
    <w:rsid w:val="00BC0173"/>
    <w:rsid w:val="00BC02F3"/>
    <w:rsid w:val="00BC1AC4"/>
    <w:rsid w:val="00BC243F"/>
    <w:rsid w:val="00BC2A59"/>
    <w:rsid w:val="00BC2A99"/>
    <w:rsid w:val="00BC2DDA"/>
    <w:rsid w:val="00BC2E31"/>
    <w:rsid w:val="00BC2F80"/>
    <w:rsid w:val="00BC3052"/>
    <w:rsid w:val="00BC369C"/>
    <w:rsid w:val="00BC3A82"/>
    <w:rsid w:val="00BC43F7"/>
    <w:rsid w:val="00BC450A"/>
    <w:rsid w:val="00BC4631"/>
    <w:rsid w:val="00BC46B5"/>
    <w:rsid w:val="00BC539F"/>
    <w:rsid w:val="00BC5DCD"/>
    <w:rsid w:val="00BC5F95"/>
    <w:rsid w:val="00BC6B9D"/>
    <w:rsid w:val="00BC7161"/>
    <w:rsid w:val="00BC7405"/>
    <w:rsid w:val="00BC7590"/>
    <w:rsid w:val="00BC7750"/>
    <w:rsid w:val="00BC7D60"/>
    <w:rsid w:val="00BC7F57"/>
    <w:rsid w:val="00BD026F"/>
    <w:rsid w:val="00BD0282"/>
    <w:rsid w:val="00BD06AE"/>
    <w:rsid w:val="00BD133D"/>
    <w:rsid w:val="00BD1847"/>
    <w:rsid w:val="00BD240B"/>
    <w:rsid w:val="00BD24F8"/>
    <w:rsid w:val="00BD28AA"/>
    <w:rsid w:val="00BD36FA"/>
    <w:rsid w:val="00BD38A5"/>
    <w:rsid w:val="00BD3956"/>
    <w:rsid w:val="00BD3A61"/>
    <w:rsid w:val="00BD406F"/>
    <w:rsid w:val="00BD40C2"/>
    <w:rsid w:val="00BD467E"/>
    <w:rsid w:val="00BD55E4"/>
    <w:rsid w:val="00BD6417"/>
    <w:rsid w:val="00BD6D48"/>
    <w:rsid w:val="00BD6F3A"/>
    <w:rsid w:val="00BD76B4"/>
    <w:rsid w:val="00BD7F9F"/>
    <w:rsid w:val="00BE00FD"/>
    <w:rsid w:val="00BE0118"/>
    <w:rsid w:val="00BE06A3"/>
    <w:rsid w:val="00BE0778"/>
    <w:rsid w:val="00BE0A0D"/>
    <w:rsid w:val="00BE0B41"/>
    <w:rsid w:val="00BE0CF1"/>
    <w:rsid w:val="00BE0FF1"/>
    <w:rsid w:val="00BE12AD"/>
    <w:rsid w:val="00BE177A"/>
    <w:rsid w:val="00BE1849"/>
    <w:rsid w:val="00BE1C80"/>
    <w:rsid w:val="00BE2394"/>
    <w:rsid w:val="00BE239F"/>
    <w:rsid w:val="00BE304E"/>
    <w:rsid w:val="00BE377A"/>
    <w:rsid w:val="00BE3DE1"/>
    <w:rsid w:val="00BE41FF"/>
    <w:rsid w:val="00BE4708"/>
    <w:rsid w:val="00BE4A2E"/>
    <w:rsid w:val="00BE4C51"/>
    <w:rsid w:val="00BE51D7"/>
    <w:rsid w:val="00BE5D28"/>
    <w:rsid w:val="00BE6169"/>
    <w:rsid w:val="00BE621A"/>
    <w:rsid w:val="00BE68BB"/>
    <w:rsid w:val="00BE6C65"/>
    <w:rsid w:val="00BE6CD4"/>
    <w:rsid w:val="00BE6CEE"/>
    <w:rsid w:val="00BE6EA1"/>
    <w:rsid w:val="00BE6F81"/>
    <w:rsid w:val="00BE7344"/>
    <w:rsid w:val="00BE7709"/>
    <w:rsid w:val="00BE778E"/>
    <w:rsid w:val="00BF03DC"/>
    <w:rsid w:val="00BF08A3"/>
    <w:rsid w:val="00BF0E83"/>
    <w:rsid w:val="00BF0FE2"/>
    <w:rsid w:val="00BF13AC"/>
    <w:rsid w:val="00BF1C91"/>
    <w:rsid w:val="00BF26C5"/>
    <w:rsid w:val="00BF2F7A"/>
    <w:rsid w:val="00BF3943"/>
    <w:rsid w:val="00BF4C88"/>
    <w:rsid w:val="00BF5281"/>
    <w:rsid w:val="00BF6BA5"/>
    <w:rsid w:val="00BF70BA"/>
    <w:rsid w:val="00BF7597"/>
    <w:rsid w:val="00C00494"/>
    <w:rsid w:val="00C00541"/>
    <w:rsid w:val="00C00D68"/>
    <w:rsid w:val="00C0115B"/>
    <w:rsid w:val="00C01649"/>
    <w:rsid w:val="00C01FD5"/>
    <w:rsid w:val="00C02772"/>
    <w:rsid w:val="00C02856"/>
    <w:rsid w:val="00C02994"/>
    <w:rsid w:val="00C038FE"/>
    <w:rsid w:val="00C03C87"/>
    <w:rsid w:val="00C03D83"/>
    <w:rsid w:val="00C03D9B"/>
    <w:rsid w:val="00C04632"/>
    <w:rsid w:val="00C05083"/>
    <w:rsid w:val="00C053ED"/>
    <w:rsid w:val="00C05B40"/>
    <w:rsid w:val="00C05EBE"/>
    <w:rsid w:val="00C066E5"/>
    <w:rsid w:val="00C06AEC"/>
    <w:rsid w:val="00C06CD7"/>
    <w:rsid w:val="00C07BED"/>
    <w:rsid w:val="00C07F55"/>
    <w:rsid w:val="00C07F7E"/>
    <w:rsid w:val="00C108BF"/>
    <w:rsid w:val="00C111BC"/>
    <w:rsid w:val="00C111F1"/>
    <w:rsid w:val="00C11434"/>
    <w:rsid w:val="00C1157A"/>
    <w:rsid w:val="00C118D7"/>
    <w:rsid w:val="00C1239A"/>
    <w:rsid w:val="00C132A4"/>
    <w:rsid w:val="00C13A4F"/>
    <w:rsid w:val="00C13CBF"/>
    <w:rsid w:val="00C145F8"/>
    <w:rsid w:val="00C151FA"/>
    <w:rsid w:val="00C15628"/>
    <w:rsid w:val="00C164FB"/>
    <w:rsid w:val="00C166B3"/>
    <w:rsid w:val="00C173D0"/>
    <w:rsid w:val="00C17DC7"/>
    <w:rsid w:val="00C17E15"/>
    <w:rsid w:val="00C206E6"/>
    <w:rsid w:val="00C20B51"/>
    <w:rsid w:val="00C20F23"/>
    <w:rsid w:val="00C21458"/>
    <w:rsid w:val="00C2296C"/>
    <w:rsid w:val="00C22B45"/>
    <w:rsid w:val="00C23579"/>
    <w:rsid w:val="00C236EE"/>
    <w:rsid w:val="00C2415F"/>
    <w:rsid w:val="00C2422C"/>
    <w:rsid w:val="00C242D6"/>
    <w:rsid w:val="00C2465B"/>
    <w:rsid w:val="00C25092"/>
    <w:rsid w:val="00C25412"/>
    <w:rsid w:val="00C257AE"/>
    <w:rsid w:val="00C25ECC"/>
    <w:rsid w:val="00C2611D"/>
    <w:rsid w:val="00C26672"/>
    <w:rsid w:val="00C26BD5"/>
    <w:rsid w:val="00C26DB5"/>
    <w:rsid w:val="00C2704F"/>
    <w:rsid w:val="00C27C50"/>
    <w:rsid w:val="00C27E4C"/>
    <w:rsid w:val="00C30055"/>
    <w:rsid w:val="00C3030E"/>
    <w:rsid w:val="00C304E4"/>
    <w:rsid w:val="00C3063C"/>
    <w:rsid w:val="00C30781"/>
    <w:rsid w:val="00C3143D"/>
    <w:rsid w:val="00C318F2"/>
    <w:rsid w:val="00C31B20"/>
    <w:rsid w:val="00C32115"/>
    <w:rsid w:val="00C3246D"/>
    <w:rsid w:val="00C32A53"/>
    <w:rsid w:val="00C32E6D"/>
    <w:rsid w:val="00C33597"/>
    <w:rsid w:val="00C340B3"/>
    <w:rsid w:val="00C34F6B"/>
    <w:rsid w:val="00C34F8F"/>
    <w:rsid w:val="00C35104"/>
    <w:rsid w:val="00C353A3"/>
    <w:rsid w:val="00C35426"/>
    <w:rsid w:val="00C3576D"/>
    <w:rsid w:val="00C3582F"/>
    <w:rsid w:val="00C359A2"/>
    <w:rsid w:val="00C366FF"/>
    <w:rsid w:val="00C36916"/>
    <w:rsid w:val="00C3691E"/>
    <w:rsid w:val="00C36D38"/>
    <w:rsid w:val="00C373C8"/>
    <w:rsid w:val="00C373EC"/>
    <w:rsid w:val="00C375CC"/>
    <w:rsid w:val="00C37645"/>
    <w:rsid w:val="00C40729"/>
    <w:rsid w:val="00C40978"/>
    <w:rsid w:val="00C40A98"/>
    <w:rsid w:val="00C41164"/>
    <w:rsid w:val="00C4118F"/>
    <w:rsid w:val="00C41193"/>
    <w:rsid w:val="00C41284"/>
    <w:rsid w:val="00C4164E"/>
    <w:rsid w:val="00C41A19"/>
    <w:rsid w:val="00C41E77"/>
    <w:rsid w:val="00C42685"/>
    <w:rsid w:val="00C429E5"/>
    <w:rsid w:val="00C43671"/>
    <w:rsid w:val="00C4379F"/>
    <w:rsid w:val="00C439E1"/>
    <w:rsid w:val="00C43F20"/>
    <w:rsid w:val="00C4405D"/>
    <w:rsid w:val="00C441AA"/>
    <w:rsid w:val="00C445D6"/>
    <w:rsid w:val="00C44A04"/>
    <w:rsid w:val="00C44CD8"/>
    <w:rsid w:val="00C45037"/>
    <w:rsid w:val="00C45497"/>
    <w:rsid w:val="00C46168"/>
    <w:rsid w:val="00C461AE"/>
    <w:rsid w:val="00C463FC"/>
    <w:rsid w:val="00C46428"/>
    <w:rsid w:val="00C46645"/>
    <w:rsid w:val="00C472C2"/>
    <w:rsid w:val="00C479D8"/>
    <w:rsid w:val="00C47EAB"/>
    <w:rsid w:val="00C5088B"/>
    <w:rsid w:val="00C50BBD"/>
    <w:rsid w:val="00C510AE"/>
    <w:rsid w:val="00C5136E"/>
    <w:rsid w:val="00C5184A"/>
    <w:rsid w:val="00C51EA4"/>
    <w:rsid w:val="00C5255C"/>
    <w:rsid w:val="00C52567"/>
    <w:rsid w:val="00C532AF"/>
    <w:rsid w:val="00C5346B"/>
    <w:rsid w:val="00C535F4"/>
    <w:rsid w:val="00C53B4A"/>
    <w:rsid w:val="00C53B91"/>
    <w:rsid w:val="00C54357"/>
    <w:rsid w:val="00C55877"/>
    <w:rsid w:val="00C55C0A"/>
    <w:rsid w:val="00C55D6C"/>
    <w:rsid w:val="00C5615A"/>
    <w:rsid w:val="00C575ED"/>
    <w:rsid w:val="00C57C4B"/>
    <w:rsid w:val="00C57D20"/>
    <w:rsid w:val="00C57D32"/>
    <w:rsid w:val="00C57E93"/>
    <w:rsid w:val="00C60ADB"/>
    <w:rsid w:val="00C60B2B"/>
    <w:rsid w:val="00C60E92"/>
    <w:rsid w:val="00C61470"/>
    <w:rsid w:val="00C619A2"/>
    <w:rsid w:val="00C62154"/>
    <w:rsid w:val="00C62593"/>
    <w:rsid w:val="00C627D4"/>
    <w:rsid w:val="00C62A09"/>
    <w:rsid w:val="00C62A1A"/>
    <w:rsid w:val="00C6302F"/>
    <w:rsid w:val="00C64029"/>
    <w:rsid w:val="00C64982"/>
    <w:rsid w:val="00C64F50"/>
    <w:rsid w:val="00C658C3"/>
    <w:rsid w:val="00C65E25"/>
    <w:rsid w:val="00C66412"/>
    <w:rsid w:val="00C66485"/>
    <w:rsid w:val="00C6682E"/>
    <w:rsid w:val="00C66B62"/>
    <w:rsid w:val="00C66B71"/>
    <w:rsid w:val="00C66C4C"/>
    <w:rsid w:val="00C66E5F"/>
    <w:rsid w:val="00C6700D"/>
    <w:rsid w:val="00C675EB"/>
    <w:rsid w:val="00C67DE3"/>
    <w:rsid w:val="00C700EE"/>
    <w:rsid w:val="00C7019D"/>
    <w:rsid w:val="00C70615"/>
    <w:rsid w:val="00C70C0D"/>
    <w:rsid w:val="00C70F61"/>
    <w:rsid w:val="00C723E1"/>
    <w:rsid w:val="00C73766"/>
    <w:rsid w:val="00C73920"/>
    <w:rsid w:val="00C73A47"/>
    <w:rsid w:val="00C73B73"/>
    <w:rsid w:val="00C74B1A"/>
    <w:rsid w:val="00C74D31"/>
    <w:rsid w:val="00C76CD4"/>
    <w:rsid w:val="00C76ECD"/>
    <w:rsid w:val="00C77423"/>
    <w:rsid w:val="00C8073A"/>
    <w:rsid w:val="00C80AE5"/>
    <w:rsid w:val="00C81707"/>
    <w:rsid w:val="00C82BF6"/>
    <w:rsid w:val="00C83343"/>
    <w:rsid w:val="00C834DA"/>
    <w:rsid w:val="00C835B6"/>
    <w:rsid w:val="00C83AB3"/>
    <w:rsid w:val="00C84896"/>
    <w:rsid w:val="00C854C8"/>
    <w:rsid w:val="00C85831"/>
    <w:rsid w:val="00C85A0D"/>
    <w:rsid w:val="00C866C8"/>
    <w:rsid w:val="00C86EDD"/>
    <w:rsid w:val="00C902AB"/>
    <w:rsid w:val="00C90990"/>
    <w:rsid w:val="00C90EC3"/>
    <w:rsid w:val="00C918B4"/>
    <w:rsid w:val="00C91A4F"/>
    <w:rsid w:val="00C91BC6"/>
    <w:rsid w:val="00C91FB9"/>
    <w:rsid w:val="00C92070"/>
    <w:rsid w:val="00C92323"/>
    <w:rsid w:val="00C9242B"/>
    <w:rsid w:val="00C9267C"/>
    <w:rsid w:val="00C930B4"/>
    <w:rsid w:val="00C9318E"/>
    <w:rsid w:val="00C93FAE"/>
    <w:rsid w:val="00C9409A"/>
    <w:rsid w:val="00C94629"/>
    <w:rsid w:val="00C94D46"/>
    <w:rsid w:val="00C94EEF"/>
    <w:rsid w:val="00C953D7"/>
    <w:rsid w:val="00C95725"/>
    <w:rsid w:val="00C95949"/>
    <w:rsid w:val="00C965E9"/>
    <w:rsid w:val="00C974E5"/>
    <w:rsid w:val="00CA0244"/>
    <w:rsid w:val="00CA0477"/>
    <w:rsid w:val="00CA096F"/>
    <w:rsid w:val="00CA1251"/>
    <w:rsid w:val="00CA1B3C"/>
    <w:rsid w:val="00CA2AAA"/>
    <w:rsid w:val="00CA342C"/>
    <w:rsid w:val="00CA3EBA"/>
    <w:rsid w:val="00CA446E"/>
    <w:rsid w:val="00CA458E"/>
    <w:rsid w:val="00CA494A"/>
    <w:rsid w:val="00CA499B"/>
    <w:rsid w:val="00CA49A7"/>
    <w:rsid w:val="00CA4A97"/>
    <w:rsid w:val="00CA4C91"/>
    <w:rsid w:val="00CA506C"/>
    <w:rsid w:val="00CA64A0"/>
    <w:rsid w:val="00CA6B9A"/>
    <w:rsid w:val="00CA744B"/>
    <w:rsid w:val="00CA74ED"/>
    <w:rsid w:val="00CA75BB"/>
    <w:rsid w:val="00CA7B8A"/>
    <w:rsid w:val="00CB0639"/>
    <w:rsid w:val="00CB104C"/>
    <w:rsid w:val="00CB10A1"/>
    <w:rsid w:val="00CB12DC"/>
    <w:rsid w:val="00CB1657"/>
    <w:rsid w:val="00CB24A7"/>
    <w:rsid w:val="00CB255F"/>
    <w:rsid w:val="00CB3570"/>
    <w:rsid w:val="00CB390B"/>
    <w:rsid w:val="00CB4024"/>
    <w:rsid w:val="00CB4332"/>
    <w:rsid w:val="00CB470C"/>
    <w:rsid w:val="00CB4BAE"/>
    <w:rsid w:val="00CB4F56"/>
    <w:rsid w:val="00CB5037"/>
    <w:rsid w:val="00CB5A91"/>
    <w:rsid w:val="00CB6054"/>
    <w:rsid w:val="00CB60B4"/>
    <w:rsid w:val="00CB6111"/>
    <w:rsid w:val="00CB652F"/>
    <w:rsid w:val="00CB66E0"/>
    <w:rsid w:val="00CB76BB"/>
    <w:rsid w:val="00CB7E31"/>
    <w:rsid w:val="00CC0D15"/>
    <w:rsid w:val="00CC0EC1"/>
    <w:rsid w:val="00CC11B2"/>
    <w:rsid w:val="00CC139A"/>
    <w:rsid w:val="00CC153A"/>
    <w:rsid w:val="00CC1875"/>
    <w:rsid w:val="00CC1963"/>
    <w:rsid w:val="00CC19FA"/>
    <w:rsid w:val="00CC1A66"/>
    <w:rsid w:val="00CC1C13"/>
    <w:rsid w:val="00CC272B"/>
    <w:rsid w:val="00CC2B8F"/>
    <w:rsid w:val="00CC3871"/>
    <w:rsid w:val="00CC3F49"/>
    <w:rsid w:val="00CC4003"/>
    <w:rsid w:val="00CC4623"/>
    <w:rsid w:val="00CC487A"/>
    <w:rsid w:val="00CC4EC4"/>
    <w:rsid w:val="00CC5002"/>
    <w:rsid w:val="00CC6405"/>
    <w:rsid w:val="00CC6898"/>
    <w:rsid w:val="00CC6A01"/>
    <w:rsid w:val="00CC7A36"/>
    <w:rsid w:val="00CC7C6B"/>
    <w:rsid w:val="00CC7FCA"/>
    <w:rsid w:val="00CD0254"/>
    <w:rsid w:val="00CD0DFF"/>
    <w:rsid w:val="00CD1346"/>
    <w:rsid w:val="00CD1402"/>
    <w:rsid w:val="00CD14CA"/>
    <w:rsid w:val="00CD1623"/>
    <w:rsid w:val="00CD193C"/>
    <w:rsid w:val="00CD1BB4"/>
    <w:rsid w:val="00CD2195"/>
    <w:rsid w:val="00CD36EE"/>
    <w:rsid w:val="00CD433E"/>
    <w:rsid w:val="00CD4600"/>
    <w:rsid w:val="00CD460A"/>
    <w:rsid w:val="00CD4937"/>
    <w:rsid w:val="00CD4F90"/>
    <w:rsid w:val="00CD55B3"/>
    <w:rsid w:val="00CD6A9E"/>
    <w:rsid w:val="00CD6AD9"/>
    <w:rsid w:val="00CD731E"/>
    <w:rsid w:val="00CD765D"/>
    <w:rsid w:val="00CD7802"/>
    <w:rsid w:val="00CD79F5"/>
    <w:rsid w:val="00CD7C3D"/>
    <w:rsid w:val="00CE0774"/>
    <w:rsid w:val="00CE0A1A"/>
    <w:rsid w:val="00CE0ECE"/>
    <w:rsid w:val="00CE1EF9"/>
    <w:rsid w:val="00CE20DF"/>
    <w:rsid w:val="00CE244A"/>
    <w:rsid w:val="00CE2FB1"/>
    <w:rsid w:val="00CE32EA"/>
    <w:rsid w:val="00CE3564"/>
    <w:rsid w:val="00CE3DF8"/>
    <w:rsid w:val="00CE401C"/>
    <w:rsid w:val="00CE49EF"/>
    <w:rsid w:val="00CE6EE9"/>
    <w:rsid w:val="00CE705A"/>
    <w:rsid w:val="00CE7772"/>
    <w:rsid w:val="00CE7B10"/>
    <w:rsid w:val="00CE7F9C"/>
    <w:rsid w:val="00CF06AE"/>
    <w:rsid w:val="00CF0B11"/>
    <w:rsid w:val="00CF1A1D"/>
    <w:rsid w:val="00CF20E4"/>
    <w:rsid w:val="00CF2D3D"/>
    <w:rsid w:val="00CF3459"/>
    <w:rsid w:val="00CF354A"/>
    <w:rsid w:val="00CF38BA"/>
    <w:rsid w:val="00CF3B62"/>
    <w:rsid w:val="00CF4402"/>
    <w:rsid w:val="00CF5214"/>
    <w:rsid w:val="00CF529C"/>
    <w:rsid w:val="00CF556B"/>
    <w:rsid w:val="00CF5B2F"/>
    <w:rsid w:val="00CF60C1"/>
    <w:rsid w:val="00CF7329"/>
    <w:rsid w:val="00CF7DCD"/>
    <w:rsid w:val="00D00880"/>
    <w:rsid w:val="00D00A07"/>
    <w:rsid w:val="00D00C9F"/>
    <w:rsid w:val="00D01285"/>
    <w:rsid w:val="00D01931"/>
    <w:rsid w:val="00D01B6B"/>
    <w:rsid w:val="00D01D46"/>
    <w:rsid w:val="00D0251A"/>
    <w:rsid w:val="00D0350D"/>
    <w:rsid w:val="00D0422B"/>
    <w:rsid w:val="00D043EA"/>
    <w:rsid w:val="00D044E7"/>
    <w:rsid w:val="00D044F9"/>
    <w:rsid w:val="00D04844"/>
    <w:rsid w:val="00D04871"/>
    <w:rsid w:val="00D06312"/>
    <w:rsid w:val="00D06634"/>
    <w:rsid w:val="00D06758"/>
    <w:rsid w:val="00D0691D"/>
    <w:rsid w:val="00D06959"/>
    <w:rsid w:val="00D07196"/>
    <w:rsid w:val="00D078FE"/>
    <w:rsid w:val="00D1018B"/>
    <w:rsid w:val="00D102F5"/>
    <w:rsid w:val="00D10647"/>
    <w:rsid w:val="00D10878"/>
    <w:rsid w:val="00D11930"/>
    <w:rsid w:val="00D11C38"/>
    <w:rsid w:val="00D11DDB"/>
    <w:rsid w:val="00D12ADD"/>
    <w:rsid w:val="00D1438E"/>
    <w:rsid w:val="00D144BD"/>
    <w:rsid w:val="00D15593"/>
    <w:rsid w:val="00D1586D"/>
    <w:rsid w:val="00D162F5"/>
    <w:rsid w:val="00D164FF"/>
    <w:rsid w:val="00D1664F"/>
    <w:rsid w:val="00D16C54"/>
    <w:rsid w:val="00D16DB5"/>
    <w:rsid w:val="00D16F90"/>
    <w:rsid w:val="00D17587"/>
    <w:rsid w:val="00D20955"/>
    <w:rsid w:val="00D20BD0"/>
    <w:rsid w:val="00D21D61"/>
    <w:rsid w:val="00D22909"/>
    <w:rsid w:val="00D22E79"/>
    <w:rsid w:val="00D2319C"/>
    <w:rsid w:val="00D23FB7"/>
    <w:rsid w:val="00D240B5"/>
    <w:rsid w:val="00D24635"/>
    <w:rsid w:val="00D24BCB"/>
    <w:rsid w:val="00D24CF0"/>
    <w:rsid w:val="00D250F6"/>
    <w:rsid w:val="00D25834"/>
    <w:rsid w:val="00D25924"/>
    <w:rsid w:val="00D26448"/>
    <w:rsid w:val="00D26692"/>
    <w:rsid w:val="00D2725B"/>
    <w:rsid w:val="00D27A23"/>
    <w:rsid w:val="00D27D6C"/>
    <w:rsid w:val="00D27F5D"/>
    <w:rsid w:val="00D30162"/>
    <w:rsid w:val="00D3037F"/>
    <w:rsid w:val="00D308AD"/>
    <w:rsid w:val="00D30A7E"/>
    <w:rsid w:val="00D30E48"/>
    <w:rsid w:val="00D31247"/>
    <w:rsid w:val="00D31691"/>
    <w:rsid w:val="00D317AC"/>
    <w:rsid w:val="00D31876"/>
    <w:rsid w:val="00D3203C"/>
    <w:rsid w:val="00D321AC"/>
    <w:rsid w:val="00D321B9"/>
    <w:rsid w:val="00D32829"/>
    <w:rsid w:val="00D32E5A"/>
    <w:rsid w:val="00D330BD"/>
    <w:rsid w:val="00D33182"/>
    <w:rsid w:val="00D3353A"/>
    <w:rsid w:val="00D33C15"/>
    <w:rsid w:val="00D34492"/>
    <w:rsid w:val="00D34A1A"/>
    <w:rsid w:val="00D34CB7"/>
    <w:rsid w:val="00D34E4E"/>
    <w:rsid w:val="00D34F27"/>
    <w:rsid w:val="00D35046"/>
    <w:rsid w:val="00D35408"/>
    <w:rsid w:val="00D358DE"/>
    <w:rsid w:val="00D35BE8"/>
    <w:rsid w:val="00D35EBB"/>
    <w:rsid w:val="00D37494"/>
    <w:rsid w:val="00D37779"/>
    <w:rsid w:val="00D37CEB"/>
    <w:rsid w:val="00D40B36"/>
    <w:rsid w:val="00D40DEE"/>
    <w:rsid w:val="00D40E7E"/>
    <w:rsid w:val="00D41671"/>
    <w:rsid w:val="00D41B0E"/>
    <w:rsid w:val="00D42633"/>
    <w:rsid w:val="00D42D38"/>
    <w:rsid w:val="00D42E51"/>
    <w:rsid w:val="00D434A8"/>
    <w:rsid w:val="00D43ADC"/>
    <w:rsid w:val="00D442F0"/>
    <w:rsid w:val="00D443F9"/>
    <w:rsid w:val="00D450FD"/>
    <w:rsid w:val="00D45482"/>
    <w:rsid w:val="00D45B7F"/>
    <w:rsid w:val="00D45E77"/>
    <w:rsid w:val="00D45F38"/>
    <w:rsid w:val="00D46360"/>
    <w:rsid w:val="00D46FD2"/>
    <w:rsid w:val="00D47484"/>
    <w:rsid w:val="00D47EA7"/>
    <w:rsid w:val="00D50658"/>
    <w:rsid w:val="00D50ABB"/>
    <w:rsid w:val="00D51226"/>
    <w:rsid w:val="00D5128A"/>
    <w:rsid w:val="00D514AE"/>
    <w:rsid w:val="00D5200C"/>
    <w:rsid w:val="00D52082"/>
    <w:rsid w:val="00D526D1"/>
    <w:rsid w:val="00D52C84"/>
    <w:rsid w:val="00D53746"/>
    <w:rsid w:val="00D53FAC"/>
    <w:rsid w:val="00D54905"/>
    <w:rsid w:val="00D54DAE"/>
    <w:rsid w:val="00D552E7"/>
    <w:rsid w:val="00D55A1B"/>
    <w:rsid w:val="00D56050"/>
    <w:rsid w:val="00D5668F"/>
    <w:rsid w:val="00D56A8E"/>
    <w:rsid w:val="00D57734"/>
    <w:rsid w:val="00D57AFE"/>
    <w:rsid w:val="00D60014"/>
    <w:rsid w:val="00D60271"/>
    <w:rsid w:val="00D60621"/>
    <w:rsid w:val="00D60F2B"/>
    <w:rsid w:val="00D612DE"/>
    <w:rsid w:val="00D614DC"/>
    <w:rsid w:val="00D61863"/>
    <w:rsid w:val="00D61891"/>
    <w:rsid w:val="00D619BE"/>
    <w:rsid w:val="00D61D4C"/>
    <w:rsid w:val="00D6263C"/>
    <w:rsid w:val="00D6280B"/>
    <w:rsid w:val="00D63851"/>
    <w:rsid w:val="00D63C2C"/>
    <w:rsid w:val="00D63D2D"/>
    <w:rsid w:val="00D65493"/>
    <w:rsid w:val="00D6560A"/>
    <w:rsid w:val="00D65DEC"/>
    <w:rsid w:val="00D65EE9"/>
    <w:rsid w:val="00D6745F"/>
    <w:rsid w:val="00D67650"/>
    <w:rsid w:val="00D7086A"/>
    <w:rsid w:val="00D7118D"/>
    <w:rsid w:val="00D711AC"/>
    <w:rsid w:val="00D714C0"/>
    <w:rsid w:val="00D71DEB"/>
    <w:rsid w:val="00D71FA8"/>
    <w:rsid w:val="00D7202B"/>
    <w:rsid w:val="00D727FA"/>
    <w:rsid w:val="00D72E09"/>
    <w:rsid w:val="00D72F5E"/>
    <w:rsid w:val="00D73684"/>
    <w:rsid w:val="00D7382D"/>
    <w:rsid w:val="00D745D2"/>
    <w:rsid w:val="00D74919"/>
    <w:rsid w:val="00D74DA4"/>
    <w:rsid w:val="00D753F8"/>
    <w:rsid w:val="00D7548D"/>
    <w:rsid w:val="00D75AA2"/>
    <w:rsid w:val="00D75AD8"/>
    <w:rsid w:val="00D762DD"/>
    <w:rsid w:val="00D76C81"/>
    <w:rsid w:val="00D773E3"/>
    <w:rsid w:val="00D77B0B"/>
    <w:rsid w:val="00D77E89"/>
    <w:rsid w:val="00D8077F"/>
    <w:rsid w:val="00D80D75"/>
    <w:rsid w:val="00D80DDD"/>
    <w:rsid w:val="00D80EB9"/>
    <w:rsid w:val="00D810A6"/>
    <w:rsid w:val="00D81235"/>
    <w:rsid w:val="00D812E9"/>
    <w:rsid w:val="00D82589"/>
    <w:rsid w:val="00D82A3F"/>
    <w:rsid w:val="00D830F7"/>
    <w:rsid w:val="00D848F7"/>
    <w:rsid w:val="00D851C3"/>
    <w:rsid w:val="00D855B1"/>
    <w:rsid w:val="00D85A94"/>
    <w:rsid w:val="00D86AB9"/>
    <w:rsid w:val="00D86B6F"/>
    <w:rsid w:val="00D875B8"/>
    <w:rsid w:val="00D87702"/>
    <w:rsid w:val="00D879FD"/>
    <w:rsid w:val="00D90E61"/>
    <w:rsid w:val="00D9189F"/>
    <w:rsid w:val="00D91B20"/>
    <w:rsid w:val="00D91F14"/>
    <w:rsid w:val="00D92391"/>
    <w:rsid w:val="00D95084"/>
    <w:rsid w:val="00D957F8"/>
    <w:rsid w:val="00D96279"/>
    <w:rsid w:val="00D96516"/>
    <w:rsid w:val="00D96DBA"/>
    <w:rsid w:val="00D96E3E"/>
    <w:rsid w:val="00D97713"/>
    <w:rsid w:val="00DA0227"/>
    <w:rsid w:val="00DA05FB"/>
    <w:rsid w:val="00DA0920"/>
    <w:rsid w:val="00DA0D34"/>
    <w:rsid w:val="00DA0F4B"/>
    <w:rsid w:val="00DA1963"/>
    <w:rsid w:val="00DA2025"/>
    <w:rsid w:val="00DA25DD"/>
    <w:rsid w:val="00DA28F2"/>
    <w:rsid w:val="00DA3160"/>
    <w:rsid w:val="00DA3234"/>
    <w:rsid w:val="00DA364F"/>
    <w:rsid w:val="00DA4131"/>
    <w:rsid w:val="00DA436A"/>
    <w:rsid w:val="00DA51FF"/>
    <w:rsid w:val="00DA54BD"/>
    <w:rsid w:val="00DA6081"/>
    <w:rsid w:val="00DA6670"/>
    <w:rsid w:val="00DA67F4"/>
    <w:rsid w:val="00DA690C"/>
    <w:rsid w:val="00DA6C72"/>
    <w:rsid w:val="00DA6D17"/>
    <w:rsid w:val="00DA70A1"/>
    <w:rsid w:val="00DA781A"/>
    <w:rsid w:val="00DB00CE"/>
    <w:rsid w:val="00DB076E"/>
    <w:rsid w:val="00DB0A83"/>
    <w:rsid w:val="00DB0B04"/>
    <w:rsid w:val="00DB0F3D"/>
    <w:rsid w:val="00DB1025"/>
    <w:rsid w:val="00DB1953"/>
    <w:rsid w:val="00DB1EB0"/>
    <w:rsid w:val="00DB2267"/>
    <w:rsid w:val="00DB253C"/>
    <w:rsid w:val="00DB2AD2"/>
    <w:rsid w:val="00DB32D6"/>
    <w:rsid w:val="00DB3D23"/>
    <w:rsid w:val="00DB40D9"/>
    <w:rsid w:val="00DB417E"/>
    <w:rsid w:val="00DB44AE"/>
    <w:rsid w:val="00DB4864"/>
    <w:rsid w:val="00DB49C9"/>
    <w:rsid w:val="00DB4E9C"/>
    <w:rsid w:val="00DB5BC1"/>
    <w:rsid w:val="00DB5FE7"/>
    <w:rsid w:val="00DB68A5"/>
    <w:rsid w:val="00DB6B23"/>
    <w:rsid w:val="00DB6EBF"/>
    <w:rsid w:val="00DB7118"/>
    <w:rsid w:val="00DB7307"/>
    <w:rsid w:val="00DB7798"/>
    <w:rsid w:val="00DB7FB2"/>
    <w:rsid w:val="00DC04F8"/>
    <w:rsid w:val="00DC073F"/>
    <w:rsid w:val="00DC0BF4"/>
    <w:rsid w:val="00DC1B4A"/>
    <w:rsid w:val="00DC1F3A"/>
    <w:rsid w:val="00DC25A7"/>
    <w:rsid w:val="00DC2715"/>
    <w:rsid w:val="00DC2C8D"/>
    <w:rsid w:val="00DC2C9F"/>
    <w:rsid w:val="00DC2DEC"/>
    <w:rsid w:val="00DC321F"/>
    <w:rsid w:val="00DC3AFD"/>
    <w:rsid w:val="00DC4820"/>
    <w:rsid w:val="00DC49D5"/>
    <w:rsid w:val="00DC4FBF"/>
    <w:rsid w:val="00DC59B3"/>
    <w:rsid w:val="00DC5AB1"/>
    <w:rsid w:val="00DC6484"/>
    <w:rsid w:val="00DC6798"/>
    <w:rsid w:val="00DC75E8"/>
    <w:rsid w:val="00DC7E8A"/>
    <w:rsid w:val="00DC7EA3"/>
    <w:rsid w:val="00DD0F0B"/>
    <w:rsid w:val="00DD13E0"/>
    <w:rsid w:val="00DD1B6F"/>
    <w:rsid w:val="00DD2241"/>
    <w:rsid w:val="00DD234F"/>
    <w:rsid w:val="00DD2622"/>
    <w:rsid w:val="00DD2848"/>
    <w:rsid w:val="00DD28D3"/>
    <w:rsid w:val="00DD2967"/>
    <w:rsid w:val="00DD2E16"/>
    <w:rsid w:val="00DD30D9"/>
    <w:rsid w:val="00DD35E2"/>
    <w:rsid w:val="00DD3836"/>
    <w:rsid w:val="00DD3AB0"/>
    <w:rsid w:val="00DD3D8E"/>
    <w:rsid w:val="00DD4901"/>
    <w:rsid w:val="00DD4C49"/>
    <w:rsid w:val="00DD4E96"/>
    <w:rsid w:val="00DD5009"/>
    <w:rsid w:val="00DD504A"/>
    <w:rsid w:val="00DD517D"/>
    <w:rsid w:val="00DD55B3"/>
    <w:rsid w:val="00DD5B46"/>
    <w:rsid w:val="00DD5B91"/>
    <w:rsid w:val="00DD6683"/>
    <w:rsid w:val="00DD7452"/>
    <w:rsid w:val="00DD76E4"/>
    <w:rsid w:val="00DD76E7"/>
    <w:rsid w:val="00DE0797"/>
    <w:rsid w:val="00DE07EF"/>
    <w:rsid w:val="00DE09BC"/>
    <w:rsid w:val="00DE0A60"/>
    <w:rsid w:val="00DE0F67"/>
    <w:rsid w:val="00DE16C9"/>
    <w:rsid w:val="00DE191A"/>
    <w:rsid w:val="00DE2B2B"/>
    <w:rsid w:val="00DE2C7F"/>
    <w:rsid w:val="00DE2CA5"/>
    <w:rsid w:val="00DE33A9"/>
    <w:rsid w:val="00DE3A2F"/>
    <w:rsid w:val="00DE3DB8"/>
    <w:rsid w:val="00DE4835"/>
    <w:rsid w:val="00DE4B89"/>
    <w:rsid w:val="00DE52EA"/>
    <w:rsid w:val="00DE5812"/>
    <w:rsid w:val="00DE5BFA"/>
    <w:rsid w:val="00DE5D80"/>
    <w:rsid w:val="00DE5E5D"/>
    <w:rsid w:val="00DE6010"/>
    <w:rsid w:val="00DE642F"/>
    <w:rsid w:val="00DE67BD"/>
    <w:rsid w:val="00DF0305"/>
    <w:rsid w:val="00DF0920"/>
    <w:rsid w:val="00DF0A4B"/>
    <w:rsid w:val="00DF145F"/>
    <w:rsid w:val="00DF24AB"/>
    <w:rsid w:val="00DF2E56"/>
    <w:rsid w:val="00DF340D"/>
    <w:rsid w:val="00DF37C8"/>
    <w:rsid w:val="00DF3896"/>
    <w:rsid w:val="00DF4174"/>
    <w:rsid w:val="00DF480C"/>
    <w:rsid w:val="00DF544A"/>
    <w:rsid w:val="00DF5BC6"/>
    <w:rsid w:val="00DF5CD8"/>
    <w:rsid w:val="00DF60F3"/>
    <w:rsid w:val="00DF76E4"/>
    <w:rsid w:val="00DF7D92"/>
    <w:rsid w:val="00E004E9"/>
    <w:rsid w:val="00E01805"/>
    <w:rsid w:val="00E01809"/>
    <w:rsid w:val="00E02677"/>
    <w:rsid w:val="00E028E6"/>
    <w:rsid w:val="00E0291F"/>
    <w:rsid w:val="00E03739"/>
    <w:rsid w:val="00E0389D"/>
    <w:rsid w:val="00E039D9"/>
    <w:rsid w:val="00E03AEA"/>
    <w:rsid w:val="00E0476A"/>
    <w:rsid w:val="00E047F3"/>
    <w:rsid w:val="00E04AB1"/>
    <w:rsid w:val="00E0505D"/>
    <w:rsid w:val="00E05914"/>
    <w:rsid w:val="00E06874"/>
    <w:rsid w:val="00E07452"/>
    <w:rsid w:val="00E079C4"/>
    <w:rsid w:val="00E07EE3"/>
    <w:rsid w:val="00E10258"/>
    <w:rsid w:val="00E10577"/>
    <w:rsid w:val="00E10AAB"/>
    <w:rsid w:val="00E10E56"/>
    <w:rsid w:val="00E10EAE"/>
    <w:rsid w:val="00E1114F"/>
    <w:rsid w:val="00E1128B"/>
    <w:rsid w:val="00E11DB5"/>
    <w:rsid w:val="00E11FC4"/>
    <w:rsid w:val="00E122F8"/>
    <w:rsid w:val="00E123A2"/>
    <w:rsid w:val="00E123DD"/>
    <w:rsid w:val="00E12DBB"/>
    <w:rsid w:val="00E13091"/>
    <w:rsid w:val="00E13125"/>
    <w:rsid w:val="00E1319C"/>
    <w:rsid w:val="00E13C5C"/>
    <w:rsid w:val="00E1426F"/>
    <w:rsid w:val="00E1456C"/>
    <w:rsid w:val="00E14BF8"/>
    <w:rsid w:val="00E14F3F"/>
    <w:rsid w:val="00E15094"/>
    <w:rsid w:val="00E153FF"/>
    <w:rsid w:val="00E16492"/>
    <w:rsid w:val="00E167C7"/>
    <w:rsid w:val="00E16DC1"/>
    <w:rsid w:val="00E16F8A"/>
    <w:rsid w:val="00E17AAD"/>
    <w:rsid w:val="00E17B36"/>
    <w:rsid w:val="00E200DD"/>
    <w:rsid w:val="00E2013A"/>
    <w:rsid w:val="00E201C9"/>
    <w:rsid w:val="00E20D3A"/>
    <w:rsid w:val="00E20E31"/>
    <w:rsid w:val="00E21350"/>
    <w:rsid w:val="00E21968"/>
    <w:rsid w:val="00E21C18"/>
    <w:rsid w:val="00E2265B"/>
    <w:rsid w:val="00E228F1"/>
    <w:rsid w:val="00E23625"/>
    <w:rsid w:val="00E23728"/>
    <w:rsid w:val="00E24042"/>
    <w:rsid w:val="00E24759"/>
    <w:rsid w:val="00E24F50"/>
    <w:rsid w:val="00E250B4"/>
    <w:rsid w:val="00E252DA"/>
    <w:rsid w:val="00E25CB8"/>
    <w:rsid w:val="00E25D40"/>
    <w:rsid w:val="00E26171"/>
    <w:rsid w:val="00E265F2"/>
    <w:rsid w:val="00E26A94"/>
    <w:rsid w:val="00E26AEF"/>
    <w:rsid w:val="00E305DA"/>
    <w:rsid w:val="00E306F3"/>
    <w:rsid w:val="00E3094A"/>
    <w:rsid w:val="00E30D7C"/>
    <w:rsid w:val="00E3122E"/>
    <w:rsid w:val="00E313C0"/>
    <w:rsid w:val="00E31DE5"/>
    <w:rsid w:val="00E31F84"/>
    <w:rsid w:val="00E322CB"/>
    <w:rsid w:val="00E326C4"/>
    <w:rsid w:val="00E3397E"/>
    <w:rsid w:val="00E33C4D"/>
    <w:rsid w:val="00E33F2D"/>
    <w:rsid w:val="00E340B3"/>
    <w:rsid w:val="00E342DE"/>
    <w:rsid w:val="00E34A59"/>
    <w:rsid w:val="00E34D0F"/>
    <w:rsid w:val="00E34EEF"/>
    <w:rsid w:val="00E3525C"/>
    <w:rsid w:val="00E359FF"/>
    <w:rsid w:val="00E36AE1"/>
    <w:rsid w:val="00E36F55"/>
    <w:rsid w:val="00E378CA"/>
    <w:rsid w:val="00E406B8"/>
    <w:rsid w:val="00E40C7B"/>
    <w:rsid w:val="00E40E1C"/>
    <w:rsid w:val="00E4112F"/>
    <w:rsid w:val="00E41172"/>
    <w:rsid w:val="00E41317"/>
    <w:rsid w:val="00E41F2F"/>
    <w:rsid w:val="00E4283B"/>
    <w:rsid w:val="00E4409B"/>
    <w:rsid w:val="00E44163"/>
    <w:rsid w:val="00E457E8"/>
    <w:rsid w:val="00E46088"/>
    <w:rsid w:val="00E462A8"/>
    <w:rsid w:val="00E47D8C"/>
    <w:rsid w:val="00E51323"/>
    <w:rsid w:val="00E519C1"/>
    <w:rsid w:val="00E52C63"/>
    <w:rsid w:val="00E52D6E"/>
    <w:rsid w:val="00E5307D"/>
    <w:rsid w:val="00E53AE9"/>
    <w:rsid w:val="00E53BCB"/>
    <w:rsid w:val="00E53EA8"/>
    <w:rsid w:val="00E540B9"/>
    <w:rsid w:val="00E540BE"/>
    <w:rsid w:val="00E54BC5"/>
    <w:rsid w:val="00E55275"/>
    <w:rsid w:val="00E55323"/>
    <w:rsid w:val="00E55983"/>
    <w:rsid w:val="00E56175"/>
    <w:rsid w:val="00E56431"/>
    <w:rsid w:val="00E56607"/>
    <w:rsid w:val="00E56CE7"/>
    <w:rsid w:val="00E56F2F"/>
    <w:rsid w:val="00E57083"/>
    <w:rsid w:val="00E572E3"/>
    <w:rsid w:val="00E6013C"/>
    <w:rsid w:val="00E60BB2"/>
    <w:rsid w:val="00E61100"/>
    <w:rsid w:val="00E6160A"/>
    <w:rsid w:val="00E6182C"/>
    <w:rsid w:val="00E61A50"/>
    <w:rsid w:val="00E61F0A"/>
    <w:rsid w:val="00E62038"/>
    <w:rsid w:val="00E6299E"/>
    <w:rsid w:val="00E62B37"/>
    <w:rsid w:val="00E62B3E"/>
    <w:rsid w:val="00E62CCF"/>
    <w:rsid w:val="00E62EF2"/>
    <w:rsid w:val="00E6320E"/>
    <w:rsid w:val="00E63994"/>
    <w:rsid w:val="00E63C0E"/>
    <w:rsid w:val="00E63DC7"/>
    <w:rsid w:val="00E64570"/>
    <w:rsid w:val="00E64A83"/>
    <w:rsid w:val="00E64CD4"/>
    <w:rsid w:val="00E6510E"/>
    <w:rsid w:val="00E654D8"/>
    <w:rsid w:val="00E65E7D"/>
    <w:rsid w:val="00E662B2"/>
    <w:rsid w:val="00E668BE"/>
    <w:rsid w:val="00E668F0"/>
    <w:rsid w:val="00E66A77"/>
    <w:rsid w:val="00E6730A"/>
    <w:rsid w:val="00E676A5"/>
    <w:rsid w:val="00E70191"/>
    <w:rsid w:val="00E70AF1"/>
    <w:rsid w:val="00E70CAF"/>
    <w:rsid w:val="00E71454"/>
    <w:rsid w:val="00E715E3"/>
    <w:rsid w:val="00E715F6"/>
    <w:rsid w:val="00E717A7"/>
    <w:rsid w:val="00E717C9"/>
    <w:rsid w:val="00E719D6"/>
    <w:rsid w:val="00E71C2B"/>
    <w:rsid w:val="00E72019"/>
    <w:rsid w:val="00E7218C"/>
    <w:rsid w:val="00E722F7"/>
    <w:rsid w:val="00E73AAF"/>
    <w:rsid w:val="00E74030"/>
    <w:rsid w:val="00E74373"/>
    <w:rsid w:val="00E74F3D"/>
    <w:rsid w:val="00E752C5"/>
    <w:rsid w:val="00E752CC"/>
    <w:rsid w:val="00E75D8F"/>
    <w:rsid w:val="00E761C5"/>
    <w:rsid w:val="00E77051"/>
    <w:rsid w:val="00E7727C"/>
    <w:rsid w:val="00E80B37"/>
    <w:rsid w:val="00E819E7"/>
    <w:rsid w:val="00E81BAE"/>
    <w:rsid w:val="00E81E87"/>
    <w:rsid w:val="00E82191"/>
    <w:rsid w:val="00E82667"/>
    <w:rsid w:val="00E8313C"/>
    <w:rsid w:val="00E8320C"/>
    <w:rsid w:val="00E8371C"/>
    <w:rsid w:val="00E837E1"/>
    <w:rsid w:val="00E840AF"/>
    <w:rsid w:val="00E8435C"/>
    <w:rsid w:val="00E8470E"/>
    <w:rsid w:val="00E84997"/>
    <w:rsid w:val="00E84F47"/>
    <w:rsid w:val="00E85175"/>
    <w:rsid w:val="00E852F0"/>
    <w:rsid w:val="00E85D72"/>
    <w:rsid w:val="00E85D80"/>
    <w:rsid w:val="00E85EBC"/>
    <w:rsid w:val="00E86169"/>
    <w:rsid w:val="00E86450"/>
    <w:rsid w:val="00E86916"/>
    <w:rsid w:val="00E86BAB"/>
    <w:rsid w:val="00E86F72"/>
    <w:rsid w:val="00E87533"/>
    <w:rsid w:val="00E87A46"/>
    <w:rsid w:val="00E900FD"/>
    <w:rsid w:val="00E902E2"/>
    <w:rsid w:val="00E915FF"/>
    <w:rsid w:val="00E91BCB"/>
    <w:rsid w:val="00E91E39"/>
    <w:rsid w:val="00E934BC"/>
    <w:rsid w:val="00E9352E"/>
    <w:rsid w:val="00E93696"/>
    <w:rsid w:val="00E93743"/>
    <w:rsid w:val="00E9402E"/>
    <w:rsid w:val="00E9486B"/>
    <w:rsid w:val="00E94D8B"/>
    <w:rsid w:val="00E9540C"/>
    <w:rsid w:val="00E95540"/>
    <w:rsid w:val="00E9577C"/>
    <w:rsid w:val="00E95B88"/>
    <w:rsid w:val="00E965B7"/>
    <w:rsid w:val="00E9688E"/>
    <w:rsid w:val="00E96E56"/>
    <w:rsid w:val="00E97048"/>
    <w:rsid w:val="00E974E0"/>
    <w:rsid w:val="00E97683"/>
    <w:rsid w:val="00E97918"/>
    <w:rsid w:val="00E97971"/>
    <w:rsid w:val="00E97AAE"/>
    <w:rsid w:val="00E97F97"/>
    <w:rsid w:val="00EA004C"/>
    <w:rsid w:val="00EA041C"/>
    <w:rsid w:val="00EA09BB"/>
    <w:rsid w:val="00EA0A02"/>
    <w:rsid w:val="00EA155E"/>
    <w:rsid w:val="00EA15CB"/>
    <w:rsid w:val="00EA175D"/>
    <w:rsid w:val="00EA1764"/>
    <w:rsid w:val="00EA1B1B"/>
    <w:rsid w:val="00EA211B"/>
    <w:rsid w:val="00EA242C"/>
    <w:rsid w:val="00EA25AE"/>
    <w:rsid w:val="00EA263E"/>
    <w:rsid w:val="00EA2EBC"/>
    <w:rsid w:val="00EA308F"/>
    <w:rsid w:val="00EA3430"/>
    <w:rsid w:val="00EA34A2"/>
    <w:rsid w:val="00EA3C79"/>
    <w:rsid w:val="00EA41EF"/>
    <w:rsid w:val="00EA45F8"/>
    <w:rsid w:val="00EA4AA1"/>
    <w:rsid w:val="00EA4ADD"/>
    <w:rsid w:val="00EA518D"/>
    <w:rsid w:val="00EA5243"/>
    <w:rsid w:val="00EA537F"/>
    <w:rsid w:val="00EA5568"/>
    <w:rsid w:val="00EA5794"/>
    <w:rsid w:val="00EA58BA"/>
    <w:rsid w:val="00EA5E0D"/>
    <w:rsid w:val="00EA6148"/>
    <w:rsid w:val="00EA62CF"/>
    <w:rsid w:val="00EA66E3"/>
    <w:rsid w:val="00EA6E25"/>
    <w:rsid w:val="00EA70EC"/>
    <w:rsid w:val="00EA72C4"/>
    <w:rsid w:val="00EA76A9"/>
    <w:rsid w:val="00EA7805"/>
    <w:rsid w:val="00EA787C"/>
    <w:rsid w:val="00EB0504"/>
    <w:rsid w:val="00EB0A20"/>
    <w:rsid w:val="00EB0C05"/>
    <w:rsid w:val="00EB0F77"/>
    <w:rsid w:val="00EB288C"/>
    <w:rsid w:val="00EB2A64"/>
    <w:rsid w:val="00EB2B54"/>
    <w:rsid w:val="00EB30A8"/>
    <w:rsid w:val="00EB391C"/>
    <w:rsid w:val="00EB432D"/>
    <w:rsid w:val="00EB4375"/>
    <w:rsid w:val="00EB441F"/>
    <w:rsid w:val="00EB446F"/>
    <w:rsid w:val="00EB55B6"/>
    <w:rsid w:val="00EB5D36"/>
    <w:rsid w:val="00EB66C4"/>
    <w:rsid w:val="00EB6DEF"/>
    <w:rsid w:val="00EB7A40"/>
    <w:rsid w:val="00EB7D04"/>
    <w:rsid w:val="00EC0404"/>
    <w:rsid w:val="00EC0C5D"/>
    <w:rsid w:val="00EC0CAB"/>
    <w:rsid w:val="00EC1004"/>
    <w:rsid w:val="00EC1343"/>
    <w:rsid w:val="00EC1633"/>
    <w:rsid w:val="00EC212C"/>
    <w:rsid w:val="00EC221C"/>
    <w:rsid w:val="00EC23E7"/>
    <w:rsid w:val="00EC274F"/>
    <w:rsid w:val="00EC33E2"/>
    <w:rsid w:val="00EC350D"/>
    <w:rsid w:val="00EC469B"/>
    <w:rsid w:val="00EC58A2"/>
    <w:rsid w:val="00EC601C"/>
    <w:rsid w:val="00EC64D8"/>
    <w:rsid w:val="00EC65DE"/>
    <w:rsid w:val="00EC6620"/>
    <w:rsid w:val="00EC663D"/>
    <w:rsid w:val="00EC6F74"/>
    <w:rsid w:val="00EC7BAD"/>
    <w:rsid w:val="00EC7D76"/>
    <w:rsid w:val="00ED0A43"/>
    <w:rsid w:val="00ED12ED"/>
    <w:rsid w:val="00ED1727"/>
    <w:rsid w:val="00ED1784"/>
    <w:rsid w:val="00ED1C54"/>
    <w:rsid w:val="00ED1EF1"/>
    <w:rsid w:val="00ED1EF5"/>
    <w:rsid w:val="00ED244D"/>
    <w:rsid w:val="00ED28E8"/>
    <w:rsid w:val="00ED2F85"/>
    <w:rsid w:val="00ED3558"/>
    <w:rsid w:val="00ED4AA7"/>
    <w:rsid w:val="00ED4C50"/>
    <w:rsid w:val="00ED4EED"/>
    <w:rsid w:val="00ED516D"/>
    <w:rsid w:val="00ED5309"/>
    <w:rsid w:val="00ED5C6A"/>
    <w:rsid w:val="00ED5FB1"/>
    <w:rsid w:val="00ED61EE"/>
    <w:rsid w:val="00ED6242"/>
    <w:rsid w:val="00ED6B9E"/>
    <w:rsid w:val="00ED796B"/>
    <w:rsid w:val="00ED7FF8"/>
    <w:rsid w:val="00EE00D8"/>
    <w:rsid w:val="00EE0372"/>
    <w:rsid w:val="00EE03CC"/>
    <w:rsid w:val="00EE06FF"/>
    <w:rsid w:val="00EE0D38"/>
    <w:rsid w:val="00EE126B"/>
    <w:rsid w:val="00EE203E"/>
    <w:rsid w:val="00EE2190"/>
    <w:rsid w:val="00EE227F"/>
    <w:rsid w:val="00EE24E1"/>
    <w:rsid w:val="00EE264C"/>
    <w:rsid w:val="00EE273A"/>
    <w:rsid w:val="00EE2D5F"/>
    <w:rsid w:val="00EE2E33"/>
    <w:rsid w:val="00EE2E3B"/>
    <w:rsid w:val="00EE314B"/>
    <w:rsid w:val="00EE31D9"/>
    <w:rsid w:val="00EE3436"/>
    <w:rsid w:val="00EE39DC"/>
    <w:rsid w:val="00EE3B77"/>
    <w:rsid w:val="00EE3C97"/>
    <w:rsid w:val="00EE42EA"/>
    <w:rsid w:val="00EE43FD"/>
    <w:rsid w:val="00EE4C0A"/>
    <w:rsid w:val="00EE4D4A"/>
    <w:rsid w:val="00EE53F5"/>
    <w:rsid w:val="00EE5518"/>
    <w:rsid w:val="00EF02B0"/>
    <w:rsid w:val="00EF035B"/>
    <w:rsid w:val="00EF0753"/>
    <w:rsid w:val="00EF07DC"/>
    <w:rsid w:val="00EF0C60"/>
    <w:rsid w:val="00EF2538"/>
    <w:rsid w:val="00EF2CA6"/>
    <w:rsid w:val="00EF2F12"/>
    <w:rsid w:val="00EF30D4"/>
    <w:rsid w:val="00EF34C4"/>
    <w:rsid w:val="00EF3B32"/>
    <w:rsid w:val="00EF3EC0"/>
    <w:rsid w:val="00EF3F0B"/>
    <w:rsid w:val="00EF4A5D"/>
    <w:rsid w:val="00EF4F16"/>
    <w:rsid w:val="00EF5020"/>
    <w:rsid w:val="00EF5160"/>
    <w:rsid w:val="00EF5534"/>
    <w:rsid w:val="00EF6A89"/>
    <w:rsid w:val="00EF6EB4"/>
    <w:rsid w:val="00EF7569"/>
    <w:rsid w:val="00F00FC1"/>
    <w:rsid w:val="00F010ED"/>
    <w:rsid w:val="00F01238"/>
    <w:rsid w:val="00F01268"/>
    <w:rsid w:val="00F013F9"/>
    <w:rsid w:val="00F01432"/>
    <w:rsid w:val="00F01D27"/>
    <w:rsid w:val="00F032EA"/>
    <w:rsid w:val="00F03A32"/>
    <w:rsid w:val="00F03B4B"/>
    <w:rsid w:val="00F053B9"/>
    <w:rsid w:val="00F05427"/>
    <w:rsid w:val="00F06C02"/>
    <w:rsid w:val="00F06E84"/>
    <w:rsid w:val="00F0722D"/>
    <w:rsid w:val="00F1058B"/>
    <w:rsid w:val="00F108C7"/>
    <w:rsid w:val="00F111AD"/>
    <w:rsid w:val="00F11576"/>
    <w:rsid w:val="00F117CC"/>
    <w:rsid w:val="00F11841"/>
    <w:rsid w:val="00F11A31"/>
    <w:rsid w:val="00F12065"/>
    <w:rsid w:val="00F120DF"/>
    <w:rsid w:val="00F123FC"/>
    <w:rsid w:val="00F12D54"/>
    <w:rsid w:val="00F152F6"/>
    <w:rsid w:val="00F15AA7"/>
    <w:rsid w:val="00F15B60"/>
    <w:rsid w:val="00F1605F"/>
    <w:rsid w:val="00F168A9"/>
    <w:rsid w:val="00F17130"/>
    <w:rsid w:val="00F20532"/>
    <w:rsid w:val="00F206A8"/>
    <w:rsid w:val="00F206B5"/>
    <w:rsid w:val="00F20B77"/>
    <w:rsid w:val="00F20D4D"/>
    <w:rsid w:val="00F2135B"/>
    <w:rsid w:val="00F217D5"/>
    <w:rsid w:val="00F21C35"/>
    <w:rsid w:val="00F22120"/>
    <w:rsid w:val="00F224B7"/>
    <w:rsid w:val="00F22D5C"/>
    <w:rsid w:val="00F23ECB"/>
    <w:rsid w:val="00F24223"/>
    <w:rsid w:val="00F2472F"/>
    <w:rsid w:val="00F247B5"/>
    <w:rsid w:val="00F24A82"/>
    <w:rsid w:val="00F24EEF"/>
    <w:rsid w:val="00F256C4"/>
    <w:rsid w:val="00F25DC6"/>
    <w:rsid w:val="00F261EE"/>
    <w:rsid w:val="00F2684B"/>
    <w:rsid w:val="00F2689E"/>
    <w:rsid w:val="00F26B64"/>
    <w:rsid w:val="00F273C5"/>
    <w:rsid w:val="00F277A8"/>
    <w:rsid w:val="00F27A07"/>
    <w:rsid w:val="00F27DE0"/>
    <w:rsid w:val="00F308A7"/>
    <w:rsid w:val="00F309AD"/>
    <w:rsid w:val="00F30C7A"/>
    <w:rsid w:val="00F30F79"/>
    <w:rsid w:val="00F30FB0"/>
    <w:rsid w:val="00F312C2"/>
    <w:rsid w:val="00F32042"/>
    <w:rsid w:val="00F32BB8"/>
    <w:rsid w:val="00F342E9"/>
    <w:rsid w:val="00F344C1"/>
    <w:rsid w:val="00F34D9C"/>
    <w:rsid w:val="00F35777"/>
    <w:rsid w:val="00F35B9B"/>
    <w:rsid w:val="00F36623"/>
    <w:rsid w:val="00F36963"/>
    <w:rsid w:val="00F37252"/>
    <w:rsid w:val="00F37E80"/>
    <w:rsid w:val="00F406BB"/>
    <w:rsid w:val="00F40DAA"/>
    <w:rsid w:val="00F417C3"/>
    <w:rsid w:val="00F417D2"/>
    <w:rsid w:val="00F41AB2"/>
    <w:rsid w:val="00F42013"/>
    <w:rsid w:val="00F42312"/>
    <w:rsid w:val="00F42775"/>
    <w:rsid w:val="00F43CFB"/>
    <w:rsid w:val="00F44B98"/>
    <w:rsid w:val="00F45589"/>
    <w:rsid w:val="00F45772"/>
    <w:rsid w:val="00F4592E"/>
    <w:rsid w:val="00F45FBE"/>
    <w:rsid w:val="00F4613C"/>
    <w:rsid w:val="00F46D39"/>
    <w:rsid w:val="00F46FCC"/>
    <w:rsid w:val="00F471D5"/>
    <w:rsid w:val="00F50AF7"/>
    <w:rsid w:val="00F50FF7"/>
    <w:rsid w:val="00F511FA"/>
    <w:rsid w:val="00F512BF"/>
    <w:rsid w:val="00F5190D"/>
    <w:rsid w:val="00F51A76"/>
    <w:rsid w:val="00F5206B"/>
    <w:rsid w:val="00F52F9A"/>
    <w:rsid w:val="00F53379"/>
    <w:rsid w:val="00F533FA"/>
    <w:rsid w:val="00F534F0"/>
    <w:rsid w:val="00F53CD1"/>
    <w:rsid w:val="00F53D8A"/>
    <w:rsid w:val="00F549EA"/>
    <w:rsid w:val="00F55311"/>
    <w:rsid w:val="00F5541F"/>
    <w:rsid w:val="00F555B5"/>
    <w:rsid w:val="00F556CB"/>
    <w:rsid w:val="00F55A2A"/>
    <w:rsid w:val="00F55ABA"/>
    <w:rsid w:val="00F55BD7"/>
    <w:rsid w:val="00F55E79"/>
    <w:rsid w:val="00F5609B"/>
    <w:rsid w:val="00F562FD"/>
    <w:rsid w:val="00F56420"/>
    <w:rsid w:val="00F56C52"/>
    <w:rsid w:val="00F572DF"/>
    <w:rsid w:val="00F60416"/>
    <w:rsid w:val="00F6083D"/>
    <w:rsid w:val="00F60AEB"/>
    <w:rsid w:val="00F60C4C"/>
    <w:rsid w:val="00F60D4A"/>
    <w:rsid w:val="00F62866"/>
    <w:rsid w:val="00F62F61"/>
    <w:rsid w:val="00F63658"/>
    <w:rsid w:val="00F63B0C"/>
    <w:rsid w:val="00F64516"/>
    <w:rsid w:val="00F64F90"/>
    <w:rsid w:val="00F651BF"/>
    <w:rsid w:val="00F65ABE"/>
    <w:rsid w:val="00F65FE7"/>
    <w:rsid w:val="00F66068"/>
    <w:rsid w:val="00F665DC"/>
    <w:rsid w:val="00F66E9A"/>
    <w:rsid w:val="00F6725E"/>
    <w:rsid w:val="00F67326"/>
    <w:rsid w:val="00F67AFE"/>
    <w:rsid w:val="00F7002E"/>
    <w:rsid w:val="00F700CB"/>
    <w:rsid w:val="00F70932"/>
    <w:rsid w:val="00F70E87"/>
    <w:rsid w:val="00F70EBA"/>
    <w:rsid w:val="00F70EDD"/>
    <w:rsid w:val="00F71835"/>
    <w:rsid w:val="00F71C2A"/>
    <w:rsid w:val="00F727AF"/>
    <w:rsid w:val="00F72F27"/>
    <w:rsid w:val="00F73091"/>
    <w:rsid w:val="00F73106"/>
    <w:rsid w:val="00F737E3"/>
    <w:rsid w:val="00F74504"/>
    <w:rsid w:val="00F75404"/>
    <w:rsid w:val="00F759C8"/>
    <w:rsid w:val="00F75B6B"/>
    <w:rsid w:val="00F75F62"/>
    <w:rsid w:val="00F763A3"/>
    <w:rsid w:val="00F7688A"/>
    <w:rsid w:val="00F76974"/>
    <w:rsid w:val="00F76C01"/>
    <w:rsid w:val="00F76E04"/>
    <w:rsid w:val="00F777A8"/>
    <w:rsid w:val="00F77897"/>
    <w:rsid w:val="00F778E7"/>
    <w:rsid w:val="00F77ACB"/>
    <w:rsid w:val="00F77E08"/>
    <w:rsid w:val="00F80CD2"/>
    <w:rsid w:val="00F80D2D"/>
    <w:rsid w:val="00F817D1"/>
    <w:rsid w:val="00F81A41"/>
    <w:rsid w:val="00F8236C"/>
    <w:rsid w:val="00F825FF"/>
    <w:rsid w:val="00F82A9F"/>
    <w:rsid w:val="00F83055"/>
    <w:rsid w:val="00F83906"/>
    <w:rsid w:val="00F83DD5"/>
    <w:rsid w:val="00F842A2"/>
    <w:rsid w:val="00F84520"/>
    <w:rsid w:val="00F853D4"/>
    <w:rsid w:val="00F8548A"/>
    <w:rsid w:val="00F85514"/>
    <w:rsid w:val="00F85BD2"/>
    <w:rsid w:val="00F85E8F"/>
    <w:rsid w:val="00F8659B"/>
    <w:rsid w:val="00F87317"/>
    <w:rsid w:val="00F87545"/>
    <w:rsid w:val="00F878F8"/>
    <w:rsid w:val="00F87BE4"/>
    <w:rsid w:val="00F87C2F"/>
    <w:rsid w:val="00F87EA9"/>
    <w:rsid w:val="00F903C8"/>
    <w:rsid w:val="00F90519"/>
    <w:rsid w:val="00F90FEA"/>
    <w:rsid w:val="00F912A1"/>
    <w:rsid w:val="00F91885"/>
    <w:rsid w:val="00F92013"/>
    <w:rsid w:val="00F920ED"/>
    <w:rsid w:val="00F92363"/>
    <w:rsid w:val="00F923D6"/>
    <w:rsid w:val="00F92F30"/>
    <w:rsid w:val="00F93246"/>
    <w:rsid w:val="00F93303"/>
    <w:rsid w:val="00F93B4F"/>
    <w:rsid w:val="00F93DEF"/>
    <w:rsid w:val="00F940B5"/>
    <w:rsid w:val="00F940FC"/>
    <w:rsid w:val="00F948CB"/>
    <w:rsid w:val="00F951B9"/>
    <w:rsid w:val="00F9573D"/>
    <w:rsid w:val="00F95A09"/>
    <w:rsid w:val="00F95CC7"/>
    <w:rsid w:val="00F95DF2"/>
    <w:rsid w:val="00F963D7"/>
    <w:rsid w:val="00F964AA"/>
    <w:rsid w:val="00F964DF"/>
    <w:rsid w:val="00F96735"/>
    <w:rsid w:val="00F9691F"/>
    <w:rsid w:val="00F96B82"/>
    <w:rsid w:val="00F96E73"/>
    <w:rsid w:val="00F97EE0"/>
    <w:rsid w:val="00FA0409"/>
    <w:rsid w:val="00FA0857"/>
    <w:rsid w:val="00FA0995"/>
    <w:rsid w:val="00FA0ABD"/>
    <w:rsid w:val="00FA1EC5"/>
    <w:rsid w:val="00FA242B"/>
    <w:rsid w:val="00FA297D"/>
    <w:rsid w:val="00FA2A04"/>
    <w:rsid w:val="00FA2CE6"/>
    <w:rsid w:val="00FA2CF6"/>
    <w:rsid w:val="00FA3554"/>
    <w:rsid w:val="00FA3981"/>
    <w:rsid w:val="00FA4575"/>
    <w:rsid w:val="00FA4FBD"/>
    <w:rsid w:val="00FA5185"/>
    <w:rsid w:val="00FA5448"/>
    <w:rsid w:val="00FA5CBC"/>
    <w:rsid w:val="00FA6356"/>
    <w:rsid w:val="00FA7117"/>
    <w:rsid w:val="00FA75B4"/>
    <w:rsid w:val="00FA7D3A"/>
    <w:rsid w:val="00FA7D47"/>
    <w:rsid w:val="00FA7E1B"/>
    <w:rsid w:val="00FB0B09"/>
    <w:rsid w:val="00FB0DD2"/>
    <w:rsid w:val="00FB14D2"/>
    <w:rsid w:val="00FB1520"/>
    <w:rsid w:val="00FB1852"/>
    <w:rsid w:val="00FB1B65"/>
    <w:rsid w:val="00FB260E"/>
    <w:rsid w:val="00FB2A52"/>
    <w:rsid w:val="00FB309A"/>
    <w:rsid w:val="00FB33C1"/>
    <w:rsid w:val="00FB3B4E"/>
    <w:rsid w:val="00FB428B"/>
    <w:rsid w:val="00FB4391"/>
    <w:rsid w:val="00FB4C28"/>
    <w:rsid w:val="00FB560D"/>
    <w:rsid w:val="00FB5F17"/>
    <w:rsid w:val="00FB61CA"/>
    <w:rsid w:val="00FB6AB0"/>
    <w:rsid w:val="00FB6EF2"/>
    <w:rsid w:val="00FB7343"/>
    <w:rsid w:val="00FB786A"/>
    <w:rsid w:val="00FB7D27"/>
    <w:rsid w:val="00FC02FA"/>
    <w:rsid w:val="00FC0774"/>
    <w:rsid w:val="00FC0C58"/>
    <w:rsid w:val="00FC1A69"/>
    <w:rsid w:val="00FC3513"/>
    <w:rsid w:val="00FC3524"/>
    <w:rsid w:val="00FC377B"/>
    <w:rsid w:val="00FC3ADA"/>
    <w:rsid w:val="00FC4661"/>
    <w:rsid w:val="00FC493A"/>
    <w:rsid w:val="00FC49C9"/>
    <w:rsid w:val="00FC5689"/>
    <w:rsid w:val="00FC5759"/>
    <w:rsid w:val="00FC58A4"/>
    <w:rsid w:val="00FC58F8"/>
    <w:rsid w:val="00FC5959"/>
    <w:rsid w:val="00FC7298"/>
    <w:rsid w:val="00FC7307"/>
    <w:rsid w:val="00FC7831"/>
    <w:rsid w:val="00FC7C82"/>
    <w:rsid w:val="00FC7CA0"/>
    <w:rsid w:val="00FC7E73"/>
    <w:rsid w:val="00FD0234"/>
    <w:rsid w:val="00FD119D"/>
    <w:rsid w:val="00FD143C"/>
    <w:rsid w:val="00FD1763"/>
    <w:rsid w:val="00FD1D24"/>
    <w:rsid w:val="00FD2165"/>
    <w:rsid w:val="00FD2351"/>
    <w:rsid w:val="00FD2401"/>
    <w:rsid w:val="00FD2B45"/>
    <w:rsid w:val="00FD2E4E"/>
    <w:rsid w:val="00FD3029"/>
    <w:rsid w:val="00FD369B"/>
    <w:rsid w:val="00FD41F4"/>
    <w:rsid w:val="00FD475A"/>
    <w:rsid w:val="00FD476C"/>
    <w:rsid w:val="00FD4D44"/>
    <w:rsid w:val="00FD5593"/>
    <w:rsid w:val="00FD59B1"/>
    <w:rsid w:val="00FD6010"/>
    <w:rsid w:val="00FD631B"/>
    <w:rsid w:val="00FD6D52"/>
    <w:rsid w:val="00FD727A"/>
    <w:rsid w:val="00FD7407"/>
    <w:rsid w:val="00FD77AB"/>
    <w:rsid w:val="00FD7B35"/>
    <w:rsid w:val="00FD7B6F"/>
    <w:rsid w:val="00FD7C75"/>
    <w:rsid w:val="00FE063C"/>
    <w:rsid w:val="00FE06E1"/>
    <w:rsid w:val="00FE084B"/>
    <w:rsid w:val="00FE08FB"/>
    <w:rsid w:val="00FE0B7B"/>
    <w:rsid w:val="00FE0EA3"/>
    <w:rsid w:val="00FE0F3E"/>
    <w:rsid w:val="00FE0F4D"/>
    <w:rsid w:val="00FE1447"/>
    <w:rsid w:val="00FE162F"/>
    <w:rsid w:val="00FE1660"/>
    <w:rsid w:val="00FE1876"/>
    <w:rsid w:val="00FE19F7"/>
    <w:rsid w:val="00FE1A05"/>
    <w:rsid w:val="00FE1AE8"/>
    <w:rsid w:val="00FE1F16"/>
    <w:rsid w:val="00FE1F71"/>
    <w:rsid w:val="00FE2166"/>
    <w:rsid w:val="00FE219C"/>
    <w:rsid w:val="00FE35C7"/>
    <w:rsid w:val="00FE3B3F"/>
    <w:rsid w:val="00FE3C7D"/>
    <w:rsid w:val="00FE41D9"/>
    <w:rsid w:val="00FE4240"/>
    <w:rsid w:val="00FE4CA7"/>
    <w:rsid w:val="00FE54AA"/>
    <w:rsid w:val="00FE581E"/>
    <w:rsid w:val="00FE5CCF"/>
    <w:rsid w:val="00FE5D88"/>
    <w:rsid w:val="00FE5FA7"/>
    <w:rsid w:val="00FE6153"/>
    <w:rsid w:val="00FE6B32"/>
    <w:rsid w:val="00FE75C0"/>
    <w:rsid w:val="00FF00D5"/>
    <w:rsid w:val="00FF017A"/>
    <w:rsid w:val="00FF01FB"/>
    <w:rsid w:val="00FF0318"/>
    <w:rsid w:val="00FF15BE"/>
    <w:rsid w:val="00FF1654"/>
    <w:rsid w:val="00FF1EC7"/>
    <w:rsid w:val="00FF2CCF"/>
    <w:rsid w:val="00FF3F21"/>
    <w:rsid w:val="00FF4004"/>
    <w:rsid w:val="00FF53ED"/>
    <w:rsid w:val="00FF55EA"/>
    <w:rsid w:val="00FF59B4"/>
    <w:rsid w:val="00FF5BF7"/>
    <w:rsid w:val="00FF5EAD"/>
    <w:rsid w:val="00FF6264"/>
    <w:rsid w:val="00FF68F0"/>
    <w:rsid w:val="00FF6B59"/>
    <w:rsid w:val="00FF6C61"/>
    <w:rsid w:val="00FF6CBB"/>
    <w:rsid w:val="00FF6D8D"/>
    <w:rsid w:val="00FF79F0"/>
    <w:rsid w:val="00FF7CC2"/>
    <w:rsid w:val="00FF7D8B"/>
    <w:rsid w:val="01BD5485"/>
    <w:rsid w:val="03B83502"/>
    <w:rsid w:val="080C6E0D"/>
    <w:rsid w:val="08BB4F8A"/>
    <w:rsid w:val="0AFD45EB"/>
    <w:rsid w:val="0B4A59A4"/>
    <w:rsid w:val="0C383165"/>
    <w:rsid w:val="0D5348F4"/>
    <w:rsid w:val="0F3234FB"/>
    <w:rsid w:val="0FC12FB7"/>
    <w:rsid w:val="101D4871"/>
    <w:rsid w:val="106B5B82"/>
    <w:rsid w:val="125F270B"/>
    <w:rsid w:val="12703422"/>
    <w:rsid w:val="132C29E8"/>
    <w:rsid w:val="145B40D5"/>
    <w:rsid w:val="155F2C67"/>
    <w:rsid w:val="17332C21"/>
    <w:rsid w:val="194B7774"/>
    <w:rsid w:val="1C0F2C75"/>
    <w:rsid w:val="1C5E7FC7"/>
    <w:rsid w:val="1DFD645D"/>
    <w:rsid w:val="206B1B89"/>
    <w:rsid w:val="2184138A"/>
    <w:rsid w:val="2240557E"/>
    <w:rsid w:val="23FE0820"/>
    <w:rsid w:val="25701301"/>
    <w:rsid w:val="2CCC188D"/>
    <w:rsid w:val="2E3448E1"/>
    <w:rsid w:val="316B08DB"/>
    <w:rsid w:val="32304851"/>
    <w:rsid w:val="35B70B90"/>
    <w:rsid w:val="38476965"/>
    <w:rsid w:val="38571C24"/>
    <w:rsid w:val="3B0F187D"/>
    <w:rsid w:val="3B7C68C0"/>
    <w:rsid w:val="3E2F16A3"/>
    <w:rsid w:val="3E9D6B6A"/>
    <w:rsid w:val="3FD20F3F"/>
    <w:rsid w:val="419E27A8"/>
    <w:rsid w:val="42C92D68"/>
    <w:rsid w:val="45AE51FF"/>
    <w:rsid w:val="46746BBE"/>
    <w:rsid w:val="469E01F1"/>
    <w:rsid w:val="47EE4FF6"/>
    <w:rsid w:val="4A662326"/>
    <w:rsid w:val="4A940719"/>
    <w:rsid w:val="4CAF3308"/>
    <w:rsid w:val="4F4D6025"/>
    <w:rsid w:val="51213C46"/>
    <w:rsid w:val="56E02B6B"/>
    <w:rsid w:val="59081BF3"/>
    <w:rsid w:val="594B2689"/>
    <w:rsid w:val="5B915939"/>
    <w:rsid w:val="5BC555A7"/>
    <w:rsid w:val="5DCF21C2"/>
    <w:rsid w:val="5E6E102A"/>
    <w:rsid w:val="60A4105B"/>
    <w:rsid w:val="61272BA1"/>
    <w:rsid w:val="62E02B57"/>
    <w:rsid w:val="63672F18"/>
    <w:rsid w:val="63A95EDD"/>
    <w:rsid w:val="65223B1A"/>
    <w:rsid w:val="65E53E4C"/>
    <w:rsid w:val="68787743"/>
    <w:rsid w:val="692167E2"/>
    <w:rsid w:val="69772F9A"/>
    <w:rsid w:val="6B0C2441"/>
    <w:rsid w:val="6B500E70"/>
    <w:rsid w:val="6CF8529F"/>
    <w:rsid w:val="6D227FE1"/>
    <w:rsid w:val="6DB11578"/>
    <w:rsid w:val="6DD81B31"/>
    <w:rsid w:val="6F2B13DA"/>
    <w:rsid w:val="6F9E67B4"/>
    <w:rsid w:val="6FA66F09"/>
    <w:rsid w:val="741A3743"/>
    <w:rsid w:val="75B4010B"/>
    <w:rsid w:val="765158F7"/>
    <w:rsid w:val="7784033D"/>
    <w:rsid w:val="78117032"/>
    <w:rsid w:val="7A73715F"/>
    <w:rsid w:val="7C19785E"/>
    <w:rsid w:val="7C203C03"/>
    <w:rsid w:val="7D3A033E"/>
    <w:rsid w:val="7D4F042E"/>
    <w:rsid w:val="7D5D05AB"/>
    <w:rsid w:val="7DE850EE"/>
    <w:rsid w:val="7E7100CB"/>
    <w:rsid w:val="7E8F0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99"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qFormat="1" w:unhideWhenUsed="0" w:uiPriority="0" w:semiHidden="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48"/>
    <w:qFormat/>
    <w:uiPriority w:val="0"/>
    <w:pPr>
      <w:keepNext/>
      <w:keepLines/>
      <w:numPr>
        <w:ilvl w:val="0"/>
        <w:numId w:val="1"/>
      </w:numPr>
      <w:spacing w:before="48" w:beforeLines="20" w:line="360" w:lineRule="auto"/>
      <w:jc w:val="left"/>
      <w:outlineLvl w:val="0"/>
    </w:pPr>
    <w:rPr>
      <w:rFonts w:ascii="黑体"/>
      <w:b/>
      <w:kern w:val="44"/>
      <w:sz w:val="32"/>
      <w:szCs w:val="21"/>
    </w:rPr>
  </w:style>
  <w:style w:type="paragraph" w:styleId="5">
    <w:name w:val="heading 2"/>
    <w:basedOn w:val="1"/>
    <w:next w:val="4"/>
    <w:link w:val="49"/>
    <w:qFormat/>
    <w:uiPriority w:val="0"/>
    <w:pPr>
      <w:keepNext/>
      <w:keepLines/>
      <w:numPr>
        <w:ilvl w:val="1"/>
        <w:numId w:val="1"/>
      </w:numPr>
      <w:spacing w:line="360" w:lineRule="auto"/>
      <w:jc w:val="left"/>
      <w:outlineLvl w:val="1"/>
    </w:pPr>
    <w:rPr>
      <w:b/>
      <w:bCs/>
      <w:smallCaps/>
      <w:sz w:val="28"/>
      <w:szCs w:val="28"/>
    </w:rPr>
  </w:style>
  <w:style w:type="paragraph" w:styleId="6">
    <w:name w:val="heading 3"/>
    <w:basedOn w:val="1"/>
    <w:next w:val="4"/>
    <w:link w:val="50"/>
    <w:qFormat/>
    <w:uiPriority w:val="0"/>
    <w:pPr>
      <w:keepNext/>
      <w:keepLines/>
      <w:tabs>
        <w:tab w:val="left" w:pos="900"/>
      </w:tabs>
      <w:spacing w:line="360" w:lineRule="auto"/>
      <w:outlineLvl w:val="2"/>
    </w:pPr>
    <w:rPr>
      <w:rFonts w:asciiTheme="majorEastAsia" w:hAnsiTheme="majorEastAsia" w:eastAsiaTheme="majorEastAsia"/>
      <w:b/>
      <w:bCs/>
      <w:sz w:val="24"/>
    </w:rPr>
  </w:style>
  <w:style w:type="paragraph" w:styleId="7">
    <w:name w:val="heading 4"/>
    <w:basedOn w:val="1"/>
    <w:next w:val="4"/>
    <w:link w:val="51"/>
    <w:qFormat/>
    <w:uiPriority w:val="0"/>
    <w:pPr>
      <w:numPr>
        <w:ilvl w:val="3"/>
        <w:numId w:val="1"/>
      </w:numPr>
      <w:adjustRightInd w:val="0"/>
      <w:spacing w:line="360" w:lineRule="auto"/>
      <w:jc w:val="left"/>
      <w:textAlignment w:val="baseline"/>
      <w:outlineLvl w:val="3"/>
    </w:pPr>
    <w:rPr>
      <w:b/>
      <w:bCs/>
      <w:smallCaps/>
      <w:sz w:val="24"/>
    </w:rPr>
  </w:style>
  <w:style w:type="paragraph" w:styleId="8">
    <w:name w:val="heading 5"/>
    <w:basedOn w:val="1"/>
    <w:next w:val="1"/>
    <w:link w:val="52"/>
    <w:qFormat/>
    <w:uiPriority w:val="0"/>
    <w:pPr>
      <w:keepNext/>
      <w:keepLines/>
      <w:numPr>
        <w:ilvl w:val="4"/>
        <w:numId w:val="1"/>
      </w:numPr>
      <w:spacing w:line="312" w:lineRule="auto"/>
      <w:outlineLvl w:val="4"/>
    </w:pPr>
    <w:rPr>
      <w:b/>
      <w:bCs/>
      <w:sz w:val="24"/>
      <w:szCs w:val="28"/>
    </w:rPr>
  </w:style>
  <w:style w:type="paragraph" w:styleId="9">
    <w:name w:val="heading 6"/>
    <w:basedOn w:val="1"/>
    <w:next w:val="1"/>
    <w:link w:val="53"/>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rPr>
  </w:style>
  <w:style w:type="paragraph" w:styleId="10">
    <w:name w:val="heading 7"/>
    <w:basedOn w:val="1"/>
    <w:next w:val="1"/>
    <w:link w:val="54"/>
    <w:qFormat/>
    <w:uiPriority w:val="0"/>
    <w:pPr>
      <w:keepNext/>
      <w:keepLines/>
      <w:widowControl/>
      <w:spacing w:before="240" w:after="64" w:line="320" w:lineRule="auto"/>
      <w:jc w:val="left"/>
      <w:outlineLvl w:val="6"/>
    </w:pPr>
    <w:rPr>
      <w:b/>
      <w:bCs/>
      <w:kern w:val="0"/>
      <w:sz w:val="24"/>
    </w:rPr>
  </w:style>
  <w:style w:type="paragraph" w:styleId="11">
    <w:name w:val="heading 8"/>
    <w:basedOn w:val="1"/>
    <w:next w:val="1"/>
    <w:link w:val="55"/>
    <w:qFormat/>
    <w:uiPriority w:val="0"/>
    <w:pPr>
      <w:keepNext/>
      <w:keepLines/>
      <w:widowControl/>
      <w:spacing w:before="240" w:after="64" w:line="320" w:lineRule="auto"/>
      <w:jc w:val="left"/>
      <w:outlineLvl w:val="7"/>
    </w:pPr>
    <w:rPr>
      <w:rFonts w:ascii="Arial" w:hAnsi="Arial" w:eastAsia="黑体"/>
      <w:kern w:val="0"/>
      <w:sz w:val="24"/>
    </w:rPr>
  </w:style>
  <w:style w:type="paragraph" w:styleId="12">
    <w:name w:val="heading 9"/>
    <w:basedOn w:val="1"/>
    <w:next w:val="1"/>
    <w:link w:val="56"/>
    <w:qFormat/>
    <w:uiPriority w:val="0"/>
    <w:pPr>
      <w:keepNext/>
      <w:keepLines/>
      <w:widowControl/>
      <w:spacing w:before="240" w:after="64" w:line="320" w:lineRule="auto"/>
      <w:jc w:val="left"/>
      <w:outlineLvl w:val="8"/>
    </w:pPr>
    <w:rPr>
      <w:rFonts w:ascii="Arial" w:hAnsi="Arial" w:eastAsia="黑体"/>
      <w:kern w:val="0"/>
      <w:szCs w:val="21"/>
    </w:rPr>
  </w:style>
  <w:style w:type="character" w:default="1" w:styleId="42">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before="40" w:after="40" w:line="260" w:lineRule="exact"/>
      <w:jc w:val="center"/>
    </w:pPr>
    <w:rPr>
      <w:rFonts w:ascii="宋体"/>
      <w:b/>
      <w:bCs/>
      <w:sz w:val="21"/>
    </w:rPr>
  </w:style>
  <w:style w:type="paragraph" w:customStyle="1" w:styleId="4">
    <w:name w:val="正文首行缩进 2 + Times New Roman"/>
    <w:basedOn w:val="1"/>
    <w:link w:val="57"/>
    <w:qFormat/>
    <w:uiPriority w:val="0"/>
    <w:pPr>
      <w:tabs>
        <w:tab w:val="left" w:pos="0"/>
        <w:tab w:val="left" w:pos="3150"/>
      </w:tabs>
      <w:autoSpaceDE w:val="0"/>
      <w:autoSpaceDN w:val="0"/>
      <w:spacing w:line="360" w:lineRule="auto"/>
      <w:ind w:firstLine="480" w:firstLineChars="200"/>
    </w:pPr>
    <w:rPr>
      <w:rFonts w:eastAsiaTheme="majorEastAsia"/>
      <w:bCs/>
      <w:color w:val="000000"/>
      <w:kern w:val="0"/>
      <w:sz w:val="24"/>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Normal Indent"/>
    <w:basedOn w:val="1"/>
    <w:link w:val="94"/>
    <w:qFormat/>
    <w:uiPriority w:val="0"/>
    <w:pPr>
      <w:ind w:firstLine="420"/>
    </w:pPr>
    <w:rPr>
      <w:szCs w:val="20"/>
    </w:rPr>
  </w:style>
  <w:style w:type="paragraph" w:styleId="15">
    <w:name w:val="caption"/>
    <w:basedOn w:val="1"/>
    <w:next w:val="4"/>
    <w:link w:val="58"/>
    <w:qFormat/>
    <w:uiPriority w:val="0"/>
    <w:pPr>
      <w:tabs>
        <w:tab w:val="center" w:pos="10467"/>
        <w:tab w:val="left" w:pos="13095"/>
      </w:tabs>
      <w:jc w:val="center"/>
    </w:pPr>
    <w:rPr>
      <w:rFonts w:cs="Arial" w:asciiTheme="majorEastAsia" w:hAnsiTheme="majorEastAsia" w:eastAsiaTheme="majorEastAsia"/>
      <w:b/>
      <w:sz w:val="24"/>
    </w:rPr>
  </w:style>
  <w:style w:type="paragraph" w:styleId="16">
    <w:name w:val="Document Map"/>
    <w:basedOn w:val="1"/>
    <w:link w:val="77"/>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Indent"/>
    <w:basedOn w:val="1"/>
    <w:link w:val="65"/>
    <w:unhideWhenUsed/>
    <w:qFormat/>
    <w:uiPriority w:val="99"/>
    <w:pPr>
      <w:spacing w:line="360" w:lineRule="auto"/>
      <w:ind w:firstLine="480" w:firstLineChars="200"/>
    </w:pPr>
    <w:rPr>
      <w:rFonts w:ascii="宋体" w:hAnsi="宋体"/>
      <w:sz w:val="24"/>
    </w:rPr>
  </w:style>
  <w:style w:type="paragraph" w:styleId="19">
    <w:name w:val="toc 5"/>
    <w:basedOn w:val="1"/>
    <w:next w:val="1"/>
    <w:unhideWhenUsed/>
    <w:qFormat/>
    <w:uiPriority w:val="39"/>
    <w:pPr>
      <w:ind w:left="1680" w:leftChars="800"/>
    </w:pPr>
    <w:rPr>
      <w:rFonts w:ascii="Calibri" w:hAnsi="Calibri"/>
      <w:szCs w:val="22"/>
    </w:rPr>
  </w:style>
  <w:style w:type="paragraph" w:styleId="20">
    <w:name w:val="toc 3"/>
    <w:basedOn w:val="1"/>
    <w:next w:val="1"/>
    <w:qFormat/>
    <w:uiPriority w:val="39"/>
    <w:pPr>
      <w:tabs>
        <w:tab w:val="left" w:pos="1052"/>
        <w:tab w:val="right" w:pos="1260"/>
        <w:tab w:val="right" w:leader="dot" w:pos="8610"/>
      </w:tabs>
      <w:ind w:left="420" w:right="80" w:rightChars="38"/>
    </w:pPr>
    <w:rPr>
      <w:sz w:val="24"/>
    </w:rPr>
  </w:style>
  <w:style w:type="paragraph" w:styleId="21">
    <w:name w:val="toc 8"/>
    <w:basedOn w:val="1"/>
    <w:next w:val="1"/>
    <w:unhideWhenUsed/>
    <w:qFormat/>
    <w:uiPriority w:val="39"/>
    <w:pPr>
      <w:ind w:left="2940" w:leftChars="1400"/>
    </w:pPr>
    <w:rPr>
      <w:rFonts w:ascii="Calibri" w:hAnsi="Calibri"/>
      <w:szCs w:val="22"/>
    </w:rPr>
  </w:style>
  <w:style w:type="paragraph" w:styleId="22">
    <w:name w:val="Body Text Indent 2"/>
    <w:basedOn w:val="1"/>
    <w:link w:val="99"/>
    <w:qFormat/>
    <w:uiPriority w:val="0"/>
    <w:pPr>
      <w:spacing w:after="120" w:line="480" w:lineRule="auto"/>
      <w:ind w:left="420" w:leftChars="200"/>
    </w:pPr>
  </w:style>
  <w:style w:type="paragraph" w:styleId="23">
    <w:name w:val="Balloon Text"/>
    <w:basedOn w:val="1"/>
    <w:link w:val="76"/>
    <w:semiHidden/>
    <w:qFormat/>
    <w:uiPriority w:val="0"/>
    <w:rPr>
      <w:sz w:val="18"/>
      <w:szCs w:val="18"/>
    </w:rPr>
  </w:style>
  <w:style w:type="paragraph" w:styleId="24">
    <w:name w:val="footer"/>
    <w:basedOn w:val="1"/>
    <w:link w:val="62"/>
    <w:qFormat/>
    <w:uiPriority w:val="99"/>
    <w:pPr>
      <w:tabs>
        <w:tab w:val="center" w:pos="4153"/>
        <w:tab w:val="right" w:pos="8306"/>
      </w:tabs>
      <w:snapToGrid w:val="0"/>
      <w:jc w:val="left"/>
    </w:pPr>
    <w:rPr>
      <w:sz w:val="18"/>
      <w:szCs w:val="18"/>
    </w:rPr>
  </w:style>
  <w:style w:type="paragraph" w:styleId="25">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left" w:pos="420"/>
        <w:tab w:val="right" w:leader="dot" w:pos="8640"/>
      </w:tabs>
      <w:snapToGrid w:val="0"/>
      <w:spacing w:before="120"/>
      <w:jc w:val="left"/>
    </w:pPr>
    <w:rPr>
      <w:b/>
      <w:bCs/>
      <w:iCs/>
      <w:sz w:val="24"/>
      <w:szCs w:val="28"/>
    </w:rPr>
  </w:style>
  <w:style w:type="paragraph" w:styleId="27">
    <w:name w:val="toc 4"/>
    <w:basedOn w:val="1"/>
    <w:next w:val="1"/>
    <w:qFormat/>
    <w:uiPriority w:val="0"/>
    <w:pPr>
      <w:ind w:left="630"/>
      <w:jc w:val="left"/>
    </w:pPr>
    <w:rPr>
      <w:sz w:val="18"/>
      <w:szCs w:val="18"/>
    </w:rPr>
  </w:style>
  <w:style w:type="paragraph" w:styleId="28">
    <w:name w:val="Subtitle"/>
    <w:basedOn w:val="1"/>
    <w:next w:val="1"/>
    <w:link w:val="90"/>
    <w:qFormat/>
    <w:uiPriority w:val="99"/>
    <w:pPr>
      <w:spacing w:before="240" w:after="60" w:line="312" w:lineRule="auto"/>
      <w:jc w:val="center"/>
      <w:outlineLvl w:val="1"/>
    </w:pPr>
    <w:rPr>
      <w:rFonts w:asciiTheme="majorHAnsi" w:hAnsiTheme="majorHAnsi" w:cstheme="majorBidi"/>
      <w:b/>
      <w:bCs/>
      <w:kern w:val="28"/>
      <w:sz w:val="32"/>
      <w:szCs w:val="32"/>
    </w:rPr>
  </w:style>
  <w:style w:type="paragraph" w:styleId="29">
    <w:name w:val="toc 6"/>
    <w:basedOn w:val="1"/>
    <w:next w:val="1"/>
    <w:unhideWhenUsed/>
    <w:qFormat/>
    <w:uiPriority w:val="39"/>
    <w:pPr>
      <w:ind w:left="2100" w:leftChars="1000"/>
    </w:pPr>
    <w:rPr>
      <w:rFonts w:ascii="Calibri" w:hAnsi="Calibri"/>
      <w:szCs w:val="22"/>
    </w:rPr>
  </w:style>
  <w:style w:type="paragraph" w:styleId="30">
    <w:name w:val="table of figures"/>
    <w:basedOn w:val="1"/>
    <w:next w:val="1"/>
    <w:qFormat/>
    <w:uiPriority w:val="0"/>
    <w:pPr>
      <w:widowControl/>
      <w:tabs>
        <w:tab w:val="right" w:leader="dot" w:pos="8889"/>
      </w:tabs>
      <w:spacing w:line="360" w:lineRule="auto"/>
      <w:jc w:val="left"/>
    </w:pPr>
    <w:rPr>
      <w:kern w:val="0"/>
      <w:sz w:val="24"/>
    </w:rPr>
  </w:style>
  <w:style w:type="paragraph" w:styleId="31">
    <w:name w:val="toc 2"/>
    <w:basedOn w:val="1"/>
    <w:next w:val="1"/>
    <w:qFormat/>
    <w:uiPriority w:val="39"/>
    <w:pPr>
      <w:tabs>
        <w:tab w:val="left" w:pos="735"/>
        <w:tab w:val="right" w:leader="dot" w:pos="8610"/>
      </w:tabs>
      <w:spacing w:before="120"/>
      <w:ind w:left="210"/>
      <w:jc w:val="left"/>
    </w:pPr>
    <w:rPr>
      <w:bCs/>
      <w:sz w:val="24"/>
      <w:szCs w:val="26"/>
    </w:rPr>
  </w:style>
  <w:style w:type="paragraph" w:styleId="32">
    <w:name w:val="toc 9"/>
    <w:basedOn w:val="1"/>
    <w:next w:val="1"/>
    <w:unhideWhenUsed/>
    <w:qFormat/>
    <w:uiPriority w:val="39"/>
    <w:pPr>
      <w:ind w:left="3360" w:leftChars="1600"/>
    </w:pPr>
    <w:rPr>
      <w:rFonts w:ascii="Calibri" w:hAnsi="Calibri"/>
      <w:szCs w:val="22"/>
    </w:rPr>
  </w:style>
  <w:style w:type="paragraph" w:styleId="33">
    <w:name w:val="Message Header"/>
    <w:basedOn w:val="1"/>
    <w:link w:val="7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3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5">
    <w:name w:val="annotation subject"/>
    <w:basedOn w:val="17"/>
    <w:next w:val="17"/>
    <w:link w:val="79"/>
    <w:qFormat/>
    <w:uiPriority w:val="0"/>
    <w:rPr>
      <w:b/>
      <w:bCs/>
    </w:rPr>
  </w:style>
  <w:style w:type="paragraph" w:styleId="36">
    <w:name w:val="Body Text First Indent 2"/>
    <w:basedOn w:val="18"/>
    <w:link w:val="89"/>
    <w:qFormat/>
    <w:uiPriority w:val="0"/>
    <w:pPr>
      <w:spacing w:after="120" w:line="240" w:lineRule="auto"/>
      <w:ind w:left="420" w:leftChars="200" w:firstLine="420"/>
    </w:pPr>
    <w:rPr>
      <w:rFonts w:ascii="Times New Roman" w:hAnsi="Times New Roman"/>
      <w:sz w:val="21"/>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Theme"/>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0">
    <w:name w:val="Table Grid 5"/>
    <w:basedOn w:val="3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41">
    <w:name w:val="Table Grid 6"/>
    <w:basedOn w:val="37"/>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43">
    <w:name w:val="Strong"/>
    <w:qFormat/>
    <w:uiPriority w:val="0"/>
    <w:rPr>
      <w:b/>
      <w:bCs/>
    </w:rPr>
  </w:style>
  <w:style w:type="character" w:styleId="44">
    <w:name w:val="page number"/>
    <w:qFormat/>
    <w:uiPriority w:val="0"/>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paragraph" w:customStyle="1" w:styleId="4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48">
    <w:name w:val="标题 1 Char"/>
    <w:link w:val="3"/>
    <w:qFormat/>
    <w:uiPriority w:val="0"/>
    <w:rPr>
      <w:rFonts w:ascii="黑体"/>
      <w:b/>
      <w:kern w:val="44"/>
      <w:sz w:val="32"/>
      <w:szCs w:val="21"/>
    </w:rPr>
  </w:style>
  <w:style w:type="character" w:customStyle="1" w:styleId="49">
    <w:name w:val="标题 2 Char"/>
    <w:link w:val="5"/>
    <w:qFormat/>
    <w:uiPriority w:val="0"/>
    <w:rPr>
      <w:b/>
      <w:bCs/>
      <w:smallCaps/>
      <w:kern w:val="2"/>
      <w:sz w:val="28"/>
      <w:szCs w:val="28"/>
    </w:rPr>
  </w:style>
  <w:style w:type="character" w:customStyle="1" w:styleId="50">
    <w:name w:val="标题 3 Char"/>
    <w:link w:val="6"/>
    <w:qFormat/>
    <w:uiPriority w:val="0"/>
    <w:rPr>
      <w:rFonts w:asciiTheme="majorEastAsia" w:hAnsiTheme="majorEastAsia" w:eastAsiaTheme="majorEastAsia"/>
      <w:b/>
      <w:bCs/>
      <w:kern w:val="2"/>
      <w:sz w:val="24"/>
      <w:szCs w:val="24"/>
    </w:rPr>
  </w:style>
  <w:style w:type="character" w:customStyle="1" w:styleId="51">
    <w:name w:val="标题 4 Char"/>
    <w:link w:val="7"/>
    <w:qFormat/>
    <w:uiPriority w:val="0"/>
    <w:rPr>
      <w:b/>
      <w:bCs/>
      <w:smallCaps/>
      <w:kern w:val="2"/>
      <w:sz w:val="24"/>
      <w:szCs w:val="24"/>
    </w:rPr>
  </w:style>
  <w:style w:type="character" w:customStyle="1" w:styleId="52">
    <w:name w:val="标题 5 Char"/>
    <w:link w:val="8"/>
    <w:qFormat/>
    <w:uiPriority w:val="0"/>
    <w:rPr>
      <w:b/>
      <w:bCs/>
      <w:kern w:val="2"/>
      <w:sz w:val="24"/>
      <w:szCs w:val="28"/>
    </w:rPr>
  </w:style>
  <w:style w:type="character" w:customStyle="1" w:styleId="53">
    <w:name w:val="标题 6 Char"/>
    <w:link w:val="9"/>
    <w:qFormat/>
    <w:uiPriority w:val="0"/>
    <w:rPr>
      <w:rFonts w:ascii="Arial" w:hAnsi="Arial" w:eastAsia="黑体"/>
      <w:b/>
      <w:bCs/>
      <w:sz w:val="24"/>
      <w:szCs w:val="24"/>
    </w:rPr>
  </w:style>
  <w:style w:type="character" w:customStyle="1" w:styleId="54">
    <w:name w:val="标题 7 Char"/>
    <w:link w:val="10"/>
    <w:qFormat/>
    <w:uiPriority w:val="0"/>
    <w:rPr>
      <w:b/>
      <w:bCs/>
      <w:sz w:val="24"/>
      <w:szCs w:val="24"/>
    </w:rPr>
  </w:style>
  <w:style w:type="character" w:customStyle="1" w:styleId="55">
    <w:name w:val="标题 8 Char"/>
    <w:link w:val="11"/>
    <w:qFormat/>
    <w:uiPriority w:val="0"/>
    <w:rPr>
      <w:rFonts w:ascii="Arial" w:hAnsi="Arial" w:eastAsia="黑体"/>
      <w:sz w:val="24"/>
      <w:szCs w:val="24"/>
    </w:rPr>
  </w:style>
  <w:style w:type="character" w:customStyle="1" w:styleId="56">
    <w:name w:val="标题 9 Char"/>
    <w:link w:val="12"/>
    <w:qFormat/>
    <w:uiPriority w:val="0"/>
    <w:rPr>
      <w:rFonts w:ascii="Arial" w:hAnsi="Arial" w:eastAsia="黑体"/>
      <w:sz w:val="21"/>
      <w:szCs w:val="21"/>
    </w:rPr>
  </w:style>
  <w:style w:type="character" w:customStyle="1" w:styleId="57">
    <w:name w:val="正文首行缩进 2 + Times New Roman Char"/>
    <w:link w:val="4"/>
    <w:qFormat/>
    <w:uiPriority w:val="0"/>
    <w:rPr>
      <w:rFonts w:eastAsiaTheme="majorEastAsia"/>
      <w:bCs/>
      <w:color w:val="000000"/>
      <w:sz w:val="24"/>
      <w:szCs w:val="24"/>
    </w:rPr>
  </w:style>
  <w:style w:type="character" w:customStyle="1" w:styleId="58">
    <w:name w:val="题注 Char"/>
    <w:link w:val="15"/>
    <w:qFormat/>
    <w:uiPriority w:val="0"/>
    <w:rPr>
      <w:rFonts w:cs="Arial" w:asciiTheme="majorEastAsia" w:hAnsiTheme="majorEastAsia" w:eastAsiaTheme="majorEastAsia"/>
      <w:b/>
      <w:kern w:val="2"/>
      <w:sz w:val="24"/>
      <w:szCs w:val="24"/>
    </w:rPr>
  </w:style>
  <w:style w:type="paragraph" w:customStyle="1" w:styleId="59">
    <w:name w:val="表格文字2"/>
    <w:basedOn w:val="1"/>
    <w:link w:val="60"/>
    <w:qFormat/>
    <w:uiPriority w:val="0"/>
    <w:pPr>
      <w:tabs>
        <w:tab w:val="left" w:pos="277"/>
        <w:tab w:val="left" w:pos="600"/>
        <w:tab w:val="left" w:pos="780"/>
        <w:tab w:val="left" w:pos="2517"/>
      </w:tabs>
      <w:adjustRightInd w:val="0"/>
      <w:spacing w:before="60"/>
      <w:jc w:val="center"/>
      <w:textAlignment w:val="baseline"/>
    </w:pPr>
    <w:rPr>
      <w:rFonts w:cs="宋体"/>
      <w:color w:val="000000" w:themeColor="text1"/>
      <w:kern w:val="0"/>
      <w:szCs w:val="21"/>
      <w14:textFill>
        <w14:solidFill>
          <w14:schemeClr w14:val="tx1"/>
        </w14:solidFill>
      </w14:textFill>
    </w:rPr>
  </w:style>
  <w:style w:type="character" w:customStyle="1" w:styleId="60">
    <w:name w:val="表格文字2 Char"/>
    <w:link w:val="59"/>
    <w:qFormat/>
    <w:uiPriority w:val="0"/>
    <w:rPr>
      <w:rFonts w:cs="宋体"/>
      <w:color w:val="000000" w:themeColor="text1"/>
      <w:sz w:val="21"/>
      <w:szCs w:val="21"/>
      <w14:textFill>
        <w14:solidFill>
          <w14:schemeClr w14:val="tx1"/>
        </w14:solidFill>
      </w14:textFill>
    </w:rPr>
  </w:style>
  <w:style w:type="character" w:customStyle="1" w:styleId="61">
    <w:name w:val="页眉 Char"/>
    <w:link w:val="25"/>
    <w:qFormat/>
    <w:uiPriority w:val="99"/>
    <w:rPr>
      <w:kern w:val="2"/>
      <w:sz w:val="18"/>
      <w:szCs w:val="18"/>
    </w:rPr>
  </w:style>
  <w:style w:type="character" w:customStyle="1" w:styleId="62">
    <w:name w:val="页脚 Char"/>
    <w:link w:val="24"/>
    <w:qFormat/>
    <w:uiPriority w:val="99"/>
    <w:rPr>
      <w:kern w:val="2"/>
      <w:sz w:val="18"/>
      <w:szCs w:val="18"/>
    </w:rPr>
  </w:style>
  <w:style w:type="paragraph" w:customStyle="1" w:styleId="63">
    <w:name w:val="封面项目竣工环境保护"/>
    <w:basedOn w:val="1"/>
    <w:qFormat/>
    <w:uiPriority w:val="0"/>
    <w:pPr>
      <w:spacing w:line="360" w:lineRule="auto"/>
      <w:jc w:val="center"/>
    </w:pPr>
    <w:rPr>
      <w:rFonts w:eastAsia="楷体_GB2312" w:cs="宋体"/>
      <w:b/>
      <w:bCs/>
      <w:spacing w:val="24"/>
      <w:sz w:val="52"/>
      <w:szCs w:val="20"/>
    </w:rPr>
  </w:style>
  <w:style w:type="paragraph" w:customStyle="1" w:styleId="64">
    <w:name w:val="表格文字1"/>
    <w:basedOn w:val="59"/>
    <w:qFormat/>
    <w:uiPriority w:val="0"/>
    <w:pPr>
      <w:jc w:val="both"/>
    </w:pPr>
  </w:style>
  <w:style w:type="character" w:customStyle="1" w:styleId="65">
    <w:name w:val="正文文本缩进 Char"/>
    <w:link w:val="18"/>
    <w:qFormat/>
    <w:uiPriority w:val="99"/>
    <w:rPr>
      <w:rFonts w:ascii="宋体" w:hAnsi="宋体"/>
      <w:kern w:val="2"/>
      <w:sz w:val="24"/>
      <w:szCs w:val="24"/>
    </w:rPr>
  </w:style>
  <w:style w:type="paragraph" w:customStyle="1" w:styleId="66">
    <w:name w:val="表格"/>
    <w:next w:val="1"/>
    <w:link w:val="92"/>
    <w:qFormat/>
    <w:uiPriority w:val="0"/>
    <w:pPr>
      <w:spacing w:line="380" w:lineRule="exact"/>
      <w:jc w:val="center"/>
    </w:pPr>
    <w:rPr>
      <w:rFonts w:ascii="Calibri" w:hAnsi="Calibri" w:eastAsia="宋体" w:cs="Times New Roman"/>
      <w:kern w:val="2"/>
      <w:sz w:val="21"/>
      <w:szCs w:val="21"/>
      <w:lang w:val="en-US" w:eastAsia="zh-CN" w:bidi="ar-SA"/>
    </w:rPr>
  </w:style>
  <w:style w:type="character" w:customStyle="1" w:styleId="67">
    <w:name w:val="表格备注"/>
    <w:qFormat/>
    <w:uiPriority w:val="0"/>
    <w:rPr>
      <w:rFonts w:ascii="华文楷体" w:hAnsi="华文楷体" w:eastAsia="楷体_GB2312"/>
      <w:kern w:val="0"/>
      <w:sz w:val="21"/>
    </w:rPr>
  </w:style>
  <w:style w:type="paragraph" w:customStyle="1" w:styleId="68">
    <w:name w:val="目录"/>
    <w:basedOn w:val="1"/>
    <w:next w:val="4"/>
    <w:qFormat/>
    <w:uiPriority w:val="0"/>
    <w:pPr>
      <w:spacing w:before="240" w:after="240" w:line="312" w:lineRule="auto"/>
      <w:jc w:val="center"/>
    </w:pPr>
    <w:rPr>
      <w:rFonts w:cs="宋体"/>
      <w:b/>
      <w:bCs/>
      <w:sz w:val="36"/>
      <w:szCs w:val="20"/>
    </w:rPr>
  </w:style>
  <w:style w:type="character" w:customStyle="1" w:styleId="69">
    <w:name w:val="题注 Char1"/>
    <w:qFormat/>
    <w:locked/>
    <w:uiPriority w:val="0"/>
    <w:rPr>
      <w:rFonts w:ascii="Arial" w:hAnsi="Arial" w:cs="Arial"/>
      <w:b/>
      <w:kern w:val="28"/>
      <w:sz w:val="24"/>
      <w:szCs w:val="32"/>
    </w:rPr>
  </w:style>
  <w:style w:type="paragraph" w:customStyle="1" w:styleId="70">
    <w:name w:val="封面工程项目名称"/>
    <w:basedOn w:val="1"/>
    <w:qFormat/>
    <w:uiPriority w:val="0"/>
    <w:pPr>
      <w:spacing w:line="360" w:lineRule="auto"/>
      <w:jc w:val="center"/>
    </w:pPr>
    <w:rPr>
      <w:rFonts w:eastAsia="华文新魏" w:cs="宋体"/>
      <w:b/>
      <w:bCs/>
      <w:spacing w:val="24"/>
      <w:sz w:val="48"/>
      <w:szCs w:val="20"/>
    </w:rPr>
  </w:style>
  <w:style w:type="character" w:customStyle="1" w:styleId="71">
    <w:name w:val="批注文字 Char1"/>
    <w:link w:val="17"/>
    <w:semiHidden/>
    <w:qFormat/>
    <w:uiPriority w:val="0"/>
    <w:rPr>
      <w:kern w:val="2"/>
      <w:sz w:val="21"/>
      <w:szCs w:val="24"/>
    </w:rPr>
  </w:style>
  <w:style w:type="paragraph" w:customStyle="1" w:styleId="72">
    <w:name w:val="环境影响报告书"/>
    <w:basedOn w:val="1"/>
    <w:next w:val="1"/>
    <w:qFormat/>
    <w:uiPriority w:val="0"/>
    <w:pPr>
      <w:jc w:val="center"/>
    </w:pPr>
    <w:rPr>
      <w:rFonts w:eastAsia="黑体" w:cs="宋体"/>
      <w:b/>
      <w:bCs/>
      <w:spacing w:val="30"/>
      <w:sz w:val="52"/>
      <w:szCs w:val="20"/>
    </w:rPr>
  </w:style>
  <w:style w:type="paragraph" w:customStyle="1" w:styleId="73">
    <w:name w:val="环科院名称"/>
    <w:basedOn w:val="1"/>
    <w:qFormat/>
    <w:uiPriority w:val="0"/>
    <w:pPr>
      <w:ind w:left="-7" w:leftChars="-10" w:hanging="14" w:hangingChars="4"/>
      <w:jc w:val="center"/>
    </w:pPr>
    <w:rPr>
      <w:rFonts w:ascii="楷体_GB2312" w:hAnsi="华文楷体" w:eastAsia="楷体_GB2312" w:cs="宋体"/>
      <w:b/>
      <w:bCs/>
      <w:spacing w:val="20"/>
      <w:sz w:val="32"/>
      <w:szCs w:val="20"/>
    </w:rPr>
  </w:style>
  <w:style w:type="paragraph" w:customStyle="1" w:styleId="74">
    <w:name w:val="环科院英文名称"/>
    <w:basedOn w:val="1"/>
    <w:qFormat/>
    <w:uiPriority w:val="0"/>
    <w:pPr>
      <w:pBdr>
        <w:top w:val="single" w:color="auto" w:sz="4" w:space="1"/>
        <w:between w:val="single" w:color="auto" w:sz="4" w:space="1"/>
      </w:pBdr>
      <w:ind w:firstLine="21" w:firstLineChars="10"/>
      <w:jc w:val="center"/>
    </w:pPr>
    <w:rPr>
      <w:rFonts w:cs="宋体"/>
      <w:szCs w:val="20"/>
    </w:rPr>
  </w:style>
  <w:style w:type="paragraph" w:customStyle="1" w:styleId="75">
    <w:name w:val="送审/报批稿"/>
    <w:basedOn w:val="1"/>
    <w:next w:val="1"/>
    <w:qFormat/>
    <w:uiPriority w:val="0"/>
    <w:pPr>
      <w:jc w:val="center"/>
    </w:pPr>
    <w:rPr>
      <w:rFonts w:ascii="华文新魏" w:eastAsia="华文新魏" w:cs="宋体"/>
      <w:sz w:val="44"/>
      <w:szCs w:val="20"/>
    </w:rPr>
  </w:style>
  <w:style w:type="character" w:customStyle="1" w:styleId="76">
    <w:name w:val="批注框文本 Char"/>
    <w:link w:val="23"/>
    <w:semiHidden/>
    <w:qFormat/>
    <w:uiPriority w:val="0"/>
    <w:rPr>
      <w:kern w:val="2"/>
      <w:sz w:val="18"/>
      <w:szCs w:val="18"/>
    </w:rPr>
  </w:style>
  <w:style w:type="character" w:customStyle="1" w:styleId="77">
    <w:name w:val="文档结构图 Char"/>
    <w:link w:val="16"/>
    <w:qFormat/>
    <w:uiPriority w:val="0"/>
    <w:rPr>
      <w:kern w:val="2"/>
      <w:sz w:val="21"/>
      <w:szCs w:val="24"/>
      <w:shd w:val="clear" w:color="auto" w:fill="000080"/>
    </w:rPr>
  </w:style>
  <w:style w:type="character" w:customStyle="1" w:styleId="78">
    <w:name w:val="信息标题 Char"/>
    <w:link w:val="33"/>
    <w:qFormat/>
    <w:uiPriority w:val="0"/>
    <w:rPr>
      <w:rFonts w:ascii="Arial" w:hAnsi="Arial" w:cs="Arial"/>
      <w:kern w:val="2"/>
      <w:sz w:val="24"/>
      <w:szCs w:val="24"/>
      <w:shd w:val="pct20" w:color="auto" w:fill="auto"/>
    </w:rPr>
  </w:style>
  <w:style w:type="character" w:customStyle="1" w:styleId="79">
    <w:name w:val="批注主题 Char"/>
    <w:link w:val="35"/>
    <w:semiHidden/>
    <w:qFormat/>
    <w:uiPriority w:val="0"/>
    <w:rPr>
      <w:b/>
      <w:bCs/>
      <w:kern w:val="2"/>
      <w:sz w:val="21"/>
      <w:szCs w:val="24"/>
    </w:rPr>
  </w:style>
  <w:style w:type="paragraph" w:customStyle="1" w:styleId="80">
    <w:name w:val="报告表格文字"/>
    <w:basedOn w:val="1"/>
    <w:qFormat/>
    <w:uiPriority w:val="0"/>
    <w:pPr>
      <w:spacing w:before="100" w:beforeAutospacing="1" w:after="100" w:afterAutospacing="1"/>
      <w:jc w:val="center"/>
    </w:pPr>
  </w:style>
  <w:style w:type="table" w:customStyle="1" w:styleId="81">
    <w:name w:val="三线表1"/>
    <w:basedOn w:val="37"/>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eastAsia="宋体"/>
        <w:sz w:val="21"/>
      </w:rPr>
      <w:tcPr>
        <w:tcBorders>
          <w:bottom w:val="single" w:color="auto" w:sz="12" w:space="0"/>
        </w:tcBorders>
      </w:tcPr>
    </w:tblStylePr>
  </w:style>
  <w:style w:type="character" w:customStyle="1" w:styleId="82">
    <w:name w:val="表格文字 Char"/>
    <w:link w:val="83"/>
    <w:qFormat/>
    <w:uiPriority w:val="0"/>
    <w:rPr>
      <w:spacing w:val="5"/>
      <w:sz w:val="21"/>
      <w:szCs w:val="21"/>
      <w:lang w:val="zh-CN" w:eastAsia="zh-CN"/>
    </w:rPr>
  </w:style>
  <w:style w:type="paragraph" w:customStyle="1" w:styleId="83">
    <w:name w:val="表格文字"/>
    <w:basedOn w:val="1"/>
    <w:link w:val="82"/>
    <w:qFormat/>
    <w:uiPriority w:val="0"/>
    <w:pPr>
      <w:tabs>
        <w:tab w:val="left" w:pos="277"/>
        <w:tab w:val="left" w:pos="600"/>
        <w:tab w:val="left" w:pos="780"/>
        <w:tab w:val="left" w:pos="2517"/>
      </w:tabs>
      <w:jc w:val="center"/>
    </w:pPr>
    <w:rPr>
      <w:spacing w:val="5"/>
      <w:kern w:val="0"/>
      <w:szCs w:val="21"/>
      <w:lang w:val="zh-CN"/>
    </w:rPr>
  </w:style>
  <w:style w:type="paragraph" w:styleId="84">
    <w:name w:val="List Paragraph"/>
    <w:basedOn w:val="1"/>
    <w:qFormat/>
    <w:uiPriority w:val="0"/>
    <w:pPr>
      <w:ind w:firstLine="420" w:firstLineChars="200"/>
    </w:pPr>
    <w:rPr>
      <w:szCs w:val="20"/>
    </w:rPr>
  </w:style>
  <w:style w:type="paragraph" w:customStyle="1" w:styleId="85">
    <w:name w:val="TOC 标题1"/>
    <w:basedOn w:val="3"/>
    <w:next w:val="1"/>
    <w:unhideWhenUsed/>
    <w:qFormat/>
    <w:uiPriority w:val="39"/>
    <w:pPr>
      <w:widowControl/>
      <w:spacing w:before="480" w:beforeLines="0" w:line="276" w:lineRule="auto"/>
      <w:outlineLvl w:val="9"/>
    </w:pPr>
    <w:rPr>
      <w:rFonts w:ascii="Cambria" w:hAnsi="Cambria"/>
      <w:bCs/>
      <w:color w:val="365F91"/>
      <w:kern w:val="0"/>
      <w:sz w:val="28"/>
      <w:szCs w:val="28"/>
    </w:rPr>
  </w:style>
  <w:style w:type="paragraph" w:customStyle="1" w:styleId="86">
    <w:name w:val="报告文字"/>
    <w:basedOn w:val="1"/>
    <w:link w:val="87"/>
    <w:qFormat/>
    <w:uiPriority w:val="0"/>
    <w:pPr>
      <w:tabs>
        <w:tab w:val="left" w:pos="0"/>
        <w:tab w:val="left" w:pos="2955"/>
      </w:tabs>
      <w:autoSpaceDE w:val="0"/>
      <w:autoSpaceDN w:val="0"/>
      <w:spacing w:line="480" w:lineRule="exact"/>
      <w:ind w:firstLine="480"/>
      <w:jc w:val="left"/>
    </w:pPr>
    <w:rPr>
      <w:sz w:val="24"/>
      <w:lang w:val="zh-CN"/>
    </w:rPr>
  </w:style>
  <w:style w:type="character" w:customStyle="1" w:styleId="87">
    <w:name w:val="报告文字 Char"/>
    <w:link w:val="86"/>
    <w:qFormat/>
    <w:uiPriority w:val="0"/>
    <w:rPr>
      <w:kern w:val="2"/>
      <w:sz w:val="24"/>
      <w:szCs w:val="24"/>
      <w:lang w:val="zh-CN" w:eastAsia="zh-CN"/>
    </w:rPr>
  </w:style>
  <w:style w:type="paragraph" w:customStyle="1" w:styleId="88">
    <w:name w:val="标题2、3级"/>
    <w:basedOn w:val="1"/>
    <w:next w:val="1"/>
    <w:qFormat/>
    <w:uiPriority w:val="5"/>
    <w:pPr>
      <w:tabs>
        <w:tab w:val="left" w:pos="2595"/>
      </w:tabs>
      <w:spacing w:line="480" w:lineRule="exact"/>
    </w:pPr>
    <w:rPr>
      <w:b/>
      <w:bCs/>
      <w:sz w:val="24"/>
    </w:rPr>
  </w:style>
  <w:style w:type="character" w:customStyle="1" w:styleId="89">
    <w:name w:val="正文首行缩进 2 Char"/>
    <w:basedOn w:val="65"/>
    <w:link w:val="36"/>
    <w:qFormat/>
    <w:uiPriority w:val="0"/>
    <w:rPr>
      <w:rFonts w:ascii="宋体" w:hAnsi="宋体"/>
      <w:kern w:val="2"/>
      <w:sz w:val="21"/>
      <w:szCs w:val="24"/>
    </w:rPr>
  </w:style>
  <w:style w:type="character" w:customStyle="1" w:styleId="90">
    <w:name w:val="副标题 Char"/>
    <w:basedOn w:val="42"/>
    <w:link w:val="28"/>
    <w:qFormat/>
    <w:uiPriority w:val="99"/>
    <w:rPr>
      <w:rFonts w:asciiTheme="majorHAnsi" w:hAnsiTheme="majorHAnsi" w:cstheme="majorBidi"/>
      <w:b/>
      <w:bCs/>
      <w:kern w:val="28"/>
      <w:sz w:val="32"/>
      <w:szCs w:val="32"/>
    </w:rPr>
  </w:style>
  <w:style w:type="character" w:customStyle="1" w:styleId="91">
    <w:name w:val="表格文字2 Char Char"/>
    <w:qFormat/>
    <w:uiPriority w:val="0"/>
    <w:rPr>
      <w:rFonts w:eastAsia="宋体" w:cs="宋体"/>
      <w:spacing w:val="5"/>
      <w:sz w:val="21"/>
      <w:szCs w:val="21"/>
      <w:lang w:val="en-US" w:eastAsia="zh-CN" w:bidi="ar-SA"/>
    </w:rPr>
  </w:style>
  <w:style w:type="character" w:customStyle="1" w:styleId="92">
    <w:name w:val="表格 Char"/>
    <w:link w:val="66"/>
    <w:qFormat/>
    <w:uiPriority w:val="0"/>
    <w:rPr>
      <w:rFonts w:ascii="Calibri" w:hAnsi="Calibri"/>
      <w:kern w:val="2"/>
      <w:sz w:val="21"/>
      <w:szCs w:val="21"/>
    </w:rPr>
  </w:style>
  <w:style w:type="paragraph" w:customStyle="1" w:styleId="93">
    <w:name w:val="正文C1"/>
    <w:basedOn w:val="36"/>
    <w:qFormat/>
    <w:uiPriority w:val="99"/>
    <w:pPr>
      <w:tabs>
        <w:tab w:val="left" w:pos="420"/>
        <w:tab w:val="left" w:pos="870"/>
        <w:tab w:val="left" w:pos="3150"/>
      </w:tabs>
      <w:autoSpaceDE w:val="0"/>
      <w:autoSpaceDN w:val="0"/>
      <w:adjustRightInd w:val="0"/>
      <w:snapToGrid w:val="0"/>
      <w:spacing w:after="0" w:line="336" w:lineRule="auto"/>
      <w:ind w:left="0" w:leftChars="0" w:firstLine="397" w:firstLineChars="0"/>
      <w:textAlignment w:val="baseline"/>
    </w:pPr>
    <w:rPr>
      <w:rFonts w:ascii="宋体"/>
      <w:sz w:val="24"/>
      <w:szCs w:val="28"/>
    </w:rPr>
  </w:style>
  <w:style w:type="character" w:customStyle="1" w:styleId="94">
    <w:name w:val="正文缩进 Char1"/>
    <w:link w:val="14"/>
    <w:qFormat/>
    <w:uiPriority w:val="0"/>
    <w:rPr>
      <w:kern w:val="2"/>
      <w:sz w:val="21"/>
    </w:rPr>
  </w:style>
  <w:style w:type="character" w:styleId="95">
    <w:name w:val="Placeholder Text"/>
    <w:basedOn w:val="42"/>
    <w:semiHidden/>
    <w:qFormat/>
    <w:uiPriority w:val="99"/>
    <w:rPr>
      <w:color w:val="808080"/>
    </w:rPr>
  </w:style>
  <w:style w:type="paragraph" w:customStyle="1" w:styleId="9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character" w:customStyle="1" w:styleId="97">
    <w:name w:val="正文首行缩进 2 + Times New Roman Char Char"/>
    <w:qFormat/>
    <w:uiPriority w:val="0"/>
    <w:rPr>
      <w:kern w:val="2"/>
      <w:sz w:val="24"/>
      <w:szCs w:val="24"/>
    </w:rPr>
  </w:style>
  <w:style w:type="character" w:customStyle="1" w:styleId="98">
    <w:name w:val="纯文本 Char3"/>
    <w:basedOn w:val="42"/>
    <w:qFormat/>
    <w:uiPriority w:val="0"/>
    <w:rPr>
      <w:rFonts w:ascii="宋体" w:hAnsi="Courier New" w:eastAsia="宋体"/>
      <w:kern w:val="2"/>
      <w:lang w:val="en-US" w:eastAsia="zh-CN" w:bidi="ar-SA"/>
    </w:rPr>
  </w:style>
  <w:style w:type="character" w:customStyle="1" w:styleId="99">
    <w:name w:val="正文文本缩进 2 Char"/>
    <w:basedOn w:val="42"/>
    <w:link w:val="22"/>
    <w:qFormat/>
    <w:uiPriority w:val="0"/>
    <w:rPr>
      <w:kern w:val="2"/>
      <w:sz w:val="21"/>
      <w:szCs w:val="24"/>
    </w:rPr>
  </w:style>
  <w:style w:type="character" w:customStyle="1" w:styleId="100">
    <w:name w:val="标题 3 Char1"/>
    <w:basedOn w:val="42"/>
    <w:qFormat/>
    <w:uiPriority w:val="0"/>
    <w:rPr>
      <w:rFonts w:ascii="黑体" w:hAnsi="宋体" w:eastAsia="黑体"/>
      <w:b/>
      <w:kern w:val="2"/>
      <w:sz w:val="24"/>
      <w:szCs w:val="24"/>
      <w:lang w:val="en-US" w:eastAsia="zh-CN" w:bidi="ar-SA"/>
    </w:rPr>
  </w:style>
  <w:style w:type="character" w:customStyle="1" w:styleId="101">
    <w:name w:val="批注文字 Char"/>
    <w:qFormat/>
    <w:uiPriority w:val="0"/>
    <w:rPr>
      <w:kern w:val="2"/>
      <w:sz w:val="21"/>
      <w:szCs w:val="24"/>
    </w:rPr>
  </w:style>
  <w:style w:type="character" w:customStyle="1" w:styleId="102">
    <w:name w:val="正文缩进 Char"/>
    <w:qFormat/>
    <w:uiPriority w:val="0"/>
    <w:rPr>
      <w:kern w:val="2"/>
      <w:sz w:val="28"/>
      <w:szCs w:val="28"/>
    </w:rPr>
  </w:style>
  <w:style w:type="paragraph" w:customStyle="1" w:styleId="103">
    <w:name w:val="正文2"/>
    <w:basedOn w:val="1"/>
    <w:qFormat/>
    <w:uiPriority w:val="0"/>
    <w:pPr>
      <w:snapToGrid w:val="0"/>
      <w:spacing w:line="500" w:lineRule="atLeast"/>
      <w:ind w:firstLine="567"/>
    </w:pPr>
    <w:rPr>
      <w:sz w:val="24"/>
      <w:szCs w:val="20"/>
    </w:rPr>
  </w:style>
  <w:style w:type="paragraph" w:styleId="104">
    <w:name w:val="No Spacing"/>
    <w:qFormat/>
    <w:uiPriority w:val="1"/>
    <w:pPr>
      <w:adjustRightInd w:val="0"/>
      <w:snapToGrid w:val="0"/>
    </w:pPr>
    <w:rPr>
      <w:rFonts w:ascii="Tahoma" w:hAnsi="Tahoma" w:eastAsia="宋体" w:cs="Times New Roman"/>
      <w:sz w:val="22"/>
      <w:szCs w:val="22"/>
      <w:lang w:val="en-US" w:eastAsia="zh-CN" w:bidi="ar-SA"/>
    </w:rPr>
  </w:style>
  <w:style w:type="paragraph" w:customStyle="1" w:styleId="105">
    <w:name w:val="_Style 3"/>
    <w:qFormat/>
    <w:uiPriority w:val="1"/>
    <w:pPr>
      <w:adjustRightInd w:val="0"/>
      <w:snapToGrid w:val="0"/>
    </w:pPr>
    <w:rPr>
      <w:rFonts w:ascii="Tahoma" w:hAnsi="Tahoma" w:eastAsia="宋体" w:cs="Times New Roman"/>
      <w:sz w:val="22"/>
      <w:szCs w:val="22"/>
      <w:lang w:val="en-US" w:eastAsia="zh-CN" w:bidi="ar-SA"/>
    </w:rPr>
  </w:style>
  <w:style w:type="paragraph" w:customStyle="1" w:styleId="106">
    <w:name w:val="Null"/>
    <w:qFormat/>
    <w:uiPriority w:val="0"/>
    <w:pPr>
      <w:snapToGrid w:val="0"/>
      <w:textAlignment w:val="baseline"/>
    </w:pPr>
    <w:rPr>
      <w:rFonts w:ascii="Tahoma" w:hAnsi="Tahoma" w:eastAsia="微软雅黑" w:cs="Times New Roman"/>
      <w:sz w:val="22"/>
      <w:szCs w:val="22"/>
      <w:lang w:val="en-US" w:eastAsia="zh-CN" w:bidi="ar-SA"/>
    </w:rPr>
  </w:style>
  <w:style w:type="character" w:customStyle="1" w:styleId="107">
    <w:name w:val="NormalCharacter"/>
    <w:qFormat/>
    <w:uiPriority w:val="0"/>
    <w:rPr>
      <w:rFonts w:ascii="Tahoma" w:hAnsi="Tahoma"/>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U2MzAxNzY5ODg0IiwKCSJHcm91cElkIiA6ICIzNDA5MjQ2OTEiLAoJIkltYWdlIiA6ICJpVkJPUncwS0dnb0FBQUFOU1VoRVVnQUFBcTBBQUFHc0NBWUFBQUQzNko2VEFBQUFDWEJJV1hNQUFBc1RBQUFMRXdFQW1wd1lBQUFnQUVsRVFWUjRuT3pkZVZ4VTlmNC84TmNaMlJGUTFFUkZSVEZ6cVpBWjBGdVplak1WVGNzaXZWWlh3eVgzSkxkcnBsN0ZsZFM4S29vci90VFVURVhjTmNvQzErc0M0NFpLWWNBVndSVVhGbG5uL1A2Z09WK0dHVmFCYzREWDgvSGc4Wmc1NjN2NGZHYm1QWi96K1h3T1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ZxLy9CNWpGVktlT2poa0hBQUFBQUVsRlRrU3VRbUNDIiwKCSJUaGVtZSIgOiAiIiwKCSJUeXBlIiA6ICJmbG93IiwKCSJWZXJzaW9uIiA6ICIxNCIKfQo="/>
    </extobj>
    <extobj name="ECB019B1-382A-4266-B25C-5B523AA43C14-2">
      <extobjdata type="ECB019B1-382A-4266-B25C-5B523AA43C14" data="ewoJIkZpbGVJZCIgOiAiMTQ4MjQwNzk3OTU0IiwKCSJHcm91cElkIiA6ICIzNDA5MjQ2OTEiLAoJIkltYWdlIiA6ICJpVkJPUncwS0dnb0FBQUFOU1VoRVVnQUFBNkVBQUFGRENBWUFBQURMU0FpS0FBQUFDWEJJV1hNQUFBc1RBQUFMRXdFQW1wd1lBQUFnQUVsRVFWUjRuT3pkZDF3VDkvOEg4TmNsZ0Npb09IQ2hpSXExVmxFSmRXdTF0VVd0V25kYlY2dDFWcjg0cXJXMWl0bzZHRUxGZ2F0cXRjNmlLTlpSdDlaWnRZQUwxRzlSY0lCN3NWZHl2ei80NW42RUpDd0RTZUQxZkR4OEFIZVh5enZlNTNPNTkzM0dBV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MS8wL0FTelNheFBIM2JzQUFBQUFTVVZPUks1Q1lJST0iLAoJIlRoZW1lIiA6ICIiLAoJIlR5cGUiIDogImZsb3ciLAoJIlZlcnNpb24iIDogIiIKfQo="/>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74482F-FCC3-4E5F-B9E8-A743CF4B3490}">
  <ds:schemaRefs/>
</ds:datastoreItem>
</file>

<file path=docProps/app.xml><?xml version="1.0" encoding="utf-8"?>
<Properties xmlns="http://schemas.openxmlformats.org/officeDocument/2006/extended-properties" xmlns:vt="http://schemas.openxmlformats.org/officeDocument/2006/docPropsVTypes">
  <Template>Normal.dotm</Template>
  <Company>nbhky</Company>
  <Pages>36</Pages>
  <Words>2266</Words>
  <Characters>12917</Characters>
  <Lines>107</Lines>
  <Paragraphs>30</Paragraphs>
  <TotalTime>1</TotalTime>
  <ScaleCrop>false</ScaleCrop>
  <LinksUpToDate>false</LinksUpToDate>
  <CharactersWithSpaces>15153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2019-01-16T03:13:00Z</dcterms:created>
  <dc:creator>wang</dc:creator>
  <cp:lastModifiedBy>光</cp:lastModifiedBy>
  <cp:lastPrinted>2021-09-07T08:58:00Z</cp:lastPrinted>
  <dcterms:modified xsi:type="dcterms:W3CDTF">2022-03-11T03:18:10Z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04997721457945199E3F5F471299D65D</vt:lpwstr>
  </property>
</Properties>
</file>